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3D781" w14:textId="5DD6DB41" w:rsidR="00265353" w:rsidRPr="00A51745" w:rsidRDefault="00265353" w:rsidP="00FF6457">
      <w:pPr>
        <w:spacing w:line="276" w:lineRule="auto"/>
        <w:rPr>
          <w:rFonts w:cstheme="majorHAnsi"/>
          <w:b/>
          <w:color w:val="0070C0"/>
          <w:sz w:val="24"/>
          <w:szCs w:val="24"/>
        </w:rPr>
      </w:pPr>
    </w:p>
    <w:tbl>
      <w:tblPr>
        <w:tblW w:w="8926" w:type="dxa"/>
        <w:tblLook w:val="04A0" w:firstRow="1" w:lastRow="0" w:firstColumn="1" w:lastColumn="0" w:noHBand="0" w:noVBand="1"/>
      </w:tblPr>
      <w:tblGrid>
        <w:gridCol w:w="8926"/>
      </w:tblGrid>
      <w:tr w:rsidR="000C72F7" w:rsidRPr="003443DF" w14:paraId="08FDAD57" w14:textId="77777777" w:rsidTr="000C72F7">
        <w:tc>
          <w:tcPr>
            <w:tcW w:w="8926" w:type="dxa"/>
          </w:tcPr>
          <w:p w14:paraId="769E8251" w14:textId="5DC99D61" w:rsidR="000C72F7" w:rsidRPr="00A51745" w:rsidRDefault="000C72F7" w:rsidP="00880368">
            <w:pPr>
              <w:autoSpaceDE w:val="0"/>
              <w:autoSpaceDN w:val="0"/>
              <w:adjustRightInd w:val="0"/>
              <w:spacing w:line="360" w:lineRule="auto"/>
              <w:jc w:val="center"/>
              <w:rPr>
                <w:rFonts w:cstheme="majorHAnsi"/>
                <w:color w:val="000000"/>
                <w:sz w:val="24"/>
                <w:szCs w:val="24"/>
                <w:lang w:val="en-US"/>
              </w:rPr>
            </w:pPr>
            <w:r w:rsidRPr="00A51745">
              <w:rPr>
                <w:rFonts w:cstheme="majorHAnsi"/>
                <w:color w:val="000000"/>
                <w:sz w:val="24"/>
                <w:szCs w:val="24"/>
                <w:lang w:val="en-US"/>
              </w:rPr>
              <w:t>COVER LETTER</w:t>
            </w:r>
          </w:p>
          <w:p w14:paraId="52C1B3DC" w14:textId="2A6C9F17" w:rsidR="000C72F7" w:rsidRPr="00A51745" w:rsidRDefault="000C72F7" w:rsidP="000C72F7">
            <w:pPr>
              <w:autoSpaceDE w:val="0"/>
              <w:autoSpaceDN w:val="0"/>
              <w:adjustRightInd w:val="0"/>
              <w:spacing w:line="360" w:lineRule="auto"/>
              <w:rPr>
                <w:rFonts w:cstheme="majorHAnsi"/>
                <w:i/>
                <w:color w:val="000000"/>
                <w:sz w:val="24"/>
                <w:szCs w:val="24"/>
                <w:lang w:val="en-US"/>
              </w:rPr>
            </w:pPr>
            <w:r w:rsidRPr="00A51745">
              <w:rPr>
                <w:rFonts w:cstheme="majorHAnsi"/>
                <w:color w:val="000000"/>
                <w:sz w:val="24"/>
                <w:szCs w:val="24"/>
                <w:lang w:val="en-US"/>
              </w:rPr>
              <w:t xml:space="preserve">Director and Editors of the Journal </w:t>
            </w:r>
            <w:proofErr w:type="spellStart"/>
            <w:r w:rsidRPr="00A51745">
              <w:rPr>
                <w:rFonts w:cstheme="majorHAnsi"/>
                <w:i/>
                <w:color w:val="000000"/>
                <w:sz w:val="24"/>
                <w:szCs w:val="24"/>
                <w:lang w:val="en-US"/>
              </w:rPr>
              <w:t>Cátedra</w:t>
            </w:r>
            <w:proofErr w:type="spellEnd"/>
          </w:p>
          <w:p w14:paraId="6C1DEC2A" w14:textId="30C98AFD" w:rsidR="000C72F7" w:rsidRPr="00A51745" w:rsidRDefault="000C72F7" w:rsidP="000C72F7">
            <w:pPr>
              <w:autoSpaceDE w:val="0"/>
              <w:autoSpaceDN w:val="0"/>
              <w:adjustRightInd w:val="0"/>
              <w:spacing w:line="360" w:lineRule="auto"/>
              <w:rPr>
                <w:rFonts w:cstheme="majorHAnsi"/>
                <w:color w:val="000000" w:themeColor="text1"/>
                <w:sz w:val="24"/>
                <w:szCs w:val="24"/>
                <w:lang w:val="en-US"/>
              </w:rPr>
            </w:pPr>
            <w:r w:rsidRPr="00A51745">
              <w:rPr>
                <w:rFonts w:cstheme="majorHAnsi"/>
                <w:color w:val="000000" w:themeColor="text1"/>
                <w:sz w:val="24"/>
                <w:szCs w:val="24"/>
                <w:shd w:val="clear" w:color="auto" w:fill="FFFFFF"/>
                <w:lang w:val="en-US"/>
              </w:rPr>
              <w:t xml:space="preserve">Who </w:t>
            </w:r>
            <w:r w:rsidR="00C5505B" w:rsidRPr="00A51745">
              <w:rPr>
                <w:rFonts w:cstheme="majorHAnsi"/>
                <w:color w:val="000000" w:themeColor="text1"/>
                <w:sz w:val="24"/>
                <w:szCs w:val="24"/>
                <w:shd w:val="clear" w:color="auto" w:fill="FFFFFF"/>
                <w:lang w:val="en-US"/>
              </w:rPr>
              <w:t>subscribe, .............................</w:t>
            </w:r>
            <w:r w:rsidRPr="00A51745">
              <w:rPr>
                <w:rFonts w:cstheme="majorHAnsi"/>
                <w:color w:val="000000" w:themeColor="text1"/>
                <w:sz w:val="24"/>
                <w:szCs w:val="24"/>
                <w:shd w:val="clear" w:color="auto" w:fill="FFFFFF"/>
                <w:lang w:val="en-US"/>
              </w:rPr>
              <w:t xml:space="preserve"> (authors are identified with full names, listed with number, ordered according to their participation, indicate institution, city, country, email). We request the publication of the article in the journal </w:t>
            </w:r>
            <w:proofErr w:type="spellStart"/>
            <w:r w:rsidRPr="00A51745">
              <w:rPr>
                <w:rFonts w:cstheme="majorHAnsi"/>
                <w:color w:val="000000" w:themeColor="text1"/>
                <w:sz w:val="24"/>
                <w:szCs w:val="24"/>
                <w:shd w:val="clear" w:color="auto" w:fill="FFFFFF"/>
                <w:lang w:val="en-US"/>
              </w:rPr>
              <w:t>Cátedra</w:t>
            </w:r>
            <w:proofErr w:type="spellEnd"/>
            <w:r w:rsidRPr="00A51745">
              <w:rPr>
                <w:rFonts w:cstheme="majorHAnsi"/>
                <w:color w:val="000000" w:themeColor="text1"/>
                <w:sz w:val="24"/>
                <w:szCs w:val="24"/>
                <w:shd w:val="clear" w:color="auto" w:fill="FFFFFF"/>
                <w:lang w:val="en-US"/>
              </w:rPr>
              <w:t>, for which it is considered:</w:t>
            </w:r>
          </w:p>
          <w:p w14:paraId="52FA0104" w14:textId="77777777" w:rsidR="000C72F7" w:rsidRPr="00A51745" w:rsidRDefault="000C72F7" w:rsidP="000C72F7">
            <w:pPr>
              <w:autoSpaceDE w:val="0"/>
              <w:autoSpaceDN w:val="0"/>
              <w:adjustRightInd w:val="0"/>
              <w:spacing w:line="360" w:lineRule="auto"/>
              <w:rPr>
                <w:rFonts w:cstheme="majorHAnsi"/>
                <w:sz w:val="24"/>
                <w:szCs w:val="24"/>
                <w:lang w:val="en-US"/>
              </w:rPr>
            </w:pPr>
            <w:r w:rsidRPr="00A51745">
              <w:rPr>
                <w:rFonts w:cstheme="majorHAnsi"/>
                <w:sz w:val="24"/>
                <w:szCs w:val="24"/>
                <w:lang w:val="en-US"/>
              </w:rPr>
              <w:t xml:space="preserve"> (Please answer the questions with a maximum of 50 words per question)</w:t>
            </w:r>
          </w:p>
          <w:p w14:paraId="5C05D6BC" w14:textId="77777777" w:rsidR="000C72F7" w:rsidRPr="00A51745" w:rsidRDefault="000C72F7" w:rsidP="000C72F7">
            <w:pPr>
              <w:autoSpaceDE w:val="0"/>
              <w:autoSpaceDN w:val="0"/>
              <w:adjustRightInd w:val="0"/>
              <w:spacing w:line="360" w:lineRule="auto"/>
              <w:rPr>
                <w:rFonts w:cstheme="majorHAnsi"/>
                <w:b/>
                <w:sz w:val="24"/>
                <w:szCs w:val="24"/>
                <w:lang w:val="en-US"/>
              </w:rPr>
            </w:pPr>
            <w:r w:rsidRPr="00A51745">
              <w:rPr>
                <w:rFonts w:cstheme="majorHAnsi"/>
                <w:b/>
                <w:sz w:val="24"/>
                <w:szCs w:val="24"/>
                <w:lang w:val="en-US"/>
              </w:rPr>
              <w:t>Problem presented:</w:t>
            </w:r>
          </w:p>
          <w:p w14:paraId="4BC9095B" w14:textId="77777777" w:rsidR="000C72F7" w:rsidRPr="00A51745" w:rsidRDefault="000C72F7" w:rsidP="000C72F7">
            <w:pPr>
              <w:autoSpaceDE w:val="0"/>
              <w:autoSpaceDN w:val="0"/>
              <w:adjustRightInd w:val="0"/>
              <w:spacing w:line="360" w:lineRule="auto"/>
              <w:rPr>
                <w:rFonts w:cstheme="majorHAnsi"/>
                <w:b/>
                <w:sz w:val="24"/>
                <w:szCs w:val="24"/>
                <w:lang w:val="en-US"/>
              </w:rPr>
            </w:pPr>
            <w:r w:rsidRPr="00A51745">
              <w:rPr>
                <w:rFonts w:cstheme="majorHAnsi"/>
                <w:b/>
                <w:sz w:val="24"/>
                <w:szCs w:val="24"/>
                <w:lang w:val="en-US"/>
              </w:rPr>
              <w:t>Proposed solution:</w:t>
            </w:r>
          </w:p>
          <w:p w14:paraId="08C9E2AA" w14:textId="77777777" w:rsidR="000C72F7" w:rsidRPr="00A51745" w:rsidRDefault="000C72F7" w:rsidP="000C72F7">
            <w:pPr>
              <w:autoSpaceDE w:val="0"/>
              <w:autoSpaceDN w:val="0"/>
              <w:adjustRightInd w:val="0"/>
              <w:spacing w:line="360" w:lineRule="auto"/>
              <w:rPr>
                <w:rFonts w:cstheme="majorHAnsi"/>
                <w:b/>
                <w:sz w:val="24"/>
                <w:szCs w:val="24"/>
                <w:lang w:val="en-US"/>
              </w:rPr>
            </w:pPr>
            <w:r w:rsidRPr="00A51745">
              <w:rPr>
                <w:rFonts w:cstheme="majorHAnsi"/>
                <w:b/>
                <w:sz w:val="24"/>
                <w:szCs w:val="24"/>
                <w:lang w:val="en-US"/>
              </w:rPr>
              <w:t>Method used in the investigation:</w:t>
            </w:r>
          </w:p>
          <w:p w14:paraId="3593BCBA" w14:textId="6439D3BD" w:rsidR="000C72F7" w:rsidRPr="00A51745" w:rsidRDefault="003443DF" w:rsidP="000C72F7">
            <w:pPr>
              <w:autoSpaceDE w:val="0"/>
              <w:autoSpaceDN w:val="0"/>
              <w:adjustRightInd w:val="0"/>
              <w:spacing w:line="360" w:lineRule="auto"/>
              <w:rPr>
                <w:rFonts w:cstheme="majorHAnsi"/>
                <w:sz w:val="24"/>
                <w:szCs w:val="24"/>
                <w:lang w:val="en-US"/>
              </w:rPr>
            </w:pPr>
            <w:r w:rsidRPr="003443DF">
              <w:rPr>
                <w:rFonts w:cstheme="majorHAnsi"/>
                <w:sz w:val="24"/>
                <w:szCs w:val="24"/>
                <w:lang w:val="en-US"/>
              </w:rPr>
              <w:t xml:space="preserve">The authors are responsible for the content of the article and for having contributed to its writing, revision and correction. The authors retain all publication rights of the article and grant to </w:t>
            </w:r>
            <w:proofErr w:type="spellStart"/>
            <w:r w:rsidRPr="003443DF">
              <w:rPr>
                <w:rFonts w:cstheme="majorHAnsi"/>
                <w:sz w:val="24"/>
                <w:szCs w:val="24"/>
                <w:lang w:val="en-US"/>
              </w:rPr>
              <w:t>Revista</w:t>
            </w:r>
            <w:proofErr w:type="spellEnd"/>
            <w:r w:rsidRPr="003443DF">
              <w:rPr>
                <w:rFonts w:cstheme="majorHAnsi"/>
                <w:sz w:val="24"/>
                <w:szCs w:val="24"/>
                <w:lang w:val="en-US"/>
              </w:rPr>
              <w:t xml:space="preserve"> </w:t>
            </w:r>
            <w:proofErr w:type="spellStart"/>
            <w:r w:rsidRPr="003443DF">
              <w:rPr>
                <w:rFonts w:cstheme="majorHAnsi"/>
                <w:sz w:val="24"/>
                <w:szCs w:val="24"/>
                <w:lang w:val="en-US"/>
              </w:rPr>
              <w:t>Cátedra</w:t>
            </w:r>
            <w:proofErr w:type="spellEnd"/>
            <w:r w:rsidRPr="003443DF">
              <w:rPr>
                <w:rFonts w:cstheme="majorHAnsi"/>
                <w:sz w:val="24"/>
                <w:szCs w:val="24"/>
                <w:lang w:val="en-US"/>
              </w:rPr>
              <w:t xml:space="preserve"> a non-exclusive, non-transferable, royalty-free license for unlimited duration for its reproduction, transformation, distribution and public communication at national and worldwide level by any means of reproduction, transformation, distribution or current communication under a Creative Commons Attribution 4.0 International License (CC BY 4.0</w:t>
            </w:r>
            <w:proofErr w:type="gramStart"/>
            <w:r w:rsidRPr="003443DF">
              <w:rPr>
                <w:rFonts w:cstheme="majorHAnsi"/>
                <w:sz w:val="24"/>
                <w:szCs w:val="24"/>
                <w:lang w:val="en-US"/>
              </w:rPr>
              <w:t>).</w:t>
            </w:r>
            <w:r w:rsidR="004001CC">
              <w:rPr>
                <w:rFonts w:cstheme="majorHAnsi"/>
                <w:sz w:val="24"/>
                <w:szCs w:val="24"/>
                <w:lang w:val="en-US"/>
              </w:rPr>
              <w:t>.</w:t>
            </w:r>
            <w:proofErr w:type="gramEnd"/>
          </w:p>
          <w:p w14:paraId="5CF0D3C6" w14:textId="39D302D3" w:rsidR="000C72F7" w:rsidRPr="00A51745" w:rsidRDefault="000C72F7" w:rsidP="000C72F7">
            <w:pPr>
              <w:autoSpaceDE w:val="0"/>
              <w:autoSpaceDN w:val="0"/>
              <w:adjustRightInd w:val="0"/>
              <w:spacing w:line="360" w:lineRule="auto"/>
              <w:rPr>
                <w:rFonts w:cstheme="majorHAnsi"/>
                <w:sz w:val="24"/>
                <w:szCs w:val="24"/>
                <w:lang w:val="en-US"/>
              </w:rPr>
            </w:pPr>
            <w:r w:rsidRPr="00A51745">
              <w:rPr>
                <w:rFonts w:cstheme="majorHAnsi"/>
                <w:sz w:val="24"/>
                <w:szCs w:val="24"/>
                <w:lang w:val="en-US"/>
              </w:rPr>
              <w:t>Looking forwards to receiving a positive response of the manuscript.</w:t>
            </w:r>
          </w:p>
          <w:p w14:paraId="7C5C9182" w14:textId="77777777" w:rsidR="000C72F7" w:rsidRPr="00A51745" w:rsidRDefault="000C72F7" w:rsidP="000C72F7">
            <w:pPr>
              <w:autoSpaceDE w:val="0"/>
              <w:autoSpaceDN w:val="0"/>
              <w:adjustRightInd w:val="0"/>
              <w:spacing w:line="360" w:lineRule="auto"/>
              <w:rPr>
                <w:rFonts w:cstheme="majorHAnsi"/>
                <w:sz w:val="24"/>
                <w:szCs w:val="24"/>
                <w:lang w:val="en-US"/>
              </w:rPr>
            </w:pPr>
            <w:r w:rsidRPr="00A51745">
              <w:rPr>
                <w:rFonts w:cstheme="majorHAnsi"/>
                <w:sz w:val="24"/>
                <w:szCs w:val="24"/>
                <w:lang w:val="en-US"/>
              </w:rPr>
              <w:t>In __________(city), On ________Days of the month ______ 201_</w:t>
            </w:r>
          </w:p>
          <w:p w14:paraId="0647219D" w14:textId="77777777" w:rsidR="000C72F7" w:rsidRPr="00A51745" w:rsidRDefault="000C72F7" w:rsidP="000C72F7">
            <w:pPr>
              <w:autoSpaceDE w:val="0"/>
              <w:autoSpaceDN w:val="0"/>
              <w:adjustRightInd w:val="0"/>
              <w:spacing w:line="360" w:lineRule="auto"/>
              <w:rPr>
                <w:rFonts w:cstheme="majorHAnsi"/>
                <w:sz w:val="24"/>
                <w:szCs w:val="24"/>
                <w:lang w:val="en-US"/>
              </w:rPr>
            </w:pPr>
          </w:p>
          <w:p w14:paraId="77E43622" w14:textId="0A05A9B2" w:rsidR="000C72F7" w:rsidRPr="00FF04A6" w:rsidRDefault="000C72F7" w:rsidP="00FF04A6">
            <w:pPr>
              <w:autoSpaceDE w:val="0"/>
              <w:autoSpaceDN w:val="0"/>
              <w:adjustRightInd w:val="0"/>
              <w:spacing w:line="360" w:lineRule="auto"/>
              <w:rPr>
                <w:rFonts w:cstheme="majorHAnsi"/>
                <w:sz w:val="24"/>
                <w:szCs w:val="24"/>
                <w:lang w:val="en-US"/>
              </w:rPr>
            </w:pPr>
            <w:r w:rsidRPr="00A51745">
              <w:rPr>
                <w:rFonts w:cstheme="majorHAnsi"/>
                <w:sz w:val="24"/>
                <w:szCs w:val="24"/>
                <w:lang w:val="en-US"/>
              </w:rPr>
              <w:t>Signature. (By the author or authors).</w:t>
            </w:r>
          </w:p>
        </w:tc>
      </w:tr>
    </w:tbl>
    <w:p w14:paraId="42A66440" w14:textId="68B6E4CB" w:rsidR="00B9578A" w:rsidRDefault="00B9578A">
      <w:pPr>
        <w:spacing w:line="259" w:lineRule="auto"/>
        <w:jc w:val="left"/>
        <w:rPr>
          <w:rFonts w:eastAsia="Calibri" w:cs="Calibri Light"/>
          <w:b/>
          <w:sz w:val="24"/>
          <w:szCs w:val="24"/>
          <w:lang w:val="en-US"/>
        </w:rPr>
      </w:pPr>
    </w:p>
    <w:sectPr w:rsidR="00B9578A" w:rsidSect="00A7236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2FED4" w14:textId="77777777" w:rsidR="003C1DCF" w:rsidRDefault="003C1DCF" w:rsidP="001B5B04">
      <w:pPr>
        <w:spacing w:after="0"/>
      </w:pPr>
      <w:r>
        <w:separator/>
      </w:r>
    </w:p>
    <w:p w14:paraId="7036DBB6" w14:textId="77777777" w:rsidR="003C1DCF" w:rsidRDefault="003C1DCF"/>
  </w:endnote>
  <w:endnote w:type="continuationSeparator" w:id="0">
    <w:p w14:paraId="70BA7529" w14:textId="77777777" w:rsidR="003C1DCF" w:rsidRDefault="003C1DCF" w:rsidP="001B5B04">
      <w:pPr>
        <w:spacing w:after="0"/>
      </w:pPr>
      <w:r>
        <w:continuationSeparator/>
      </w:r>
    </w:p>
    <w:p w14:paraId="3C2D9324" w14:textId="77777777" w:rsidR="003C1DCF" w:rsidRDefault="003C1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1ED3F69E-C3CB-974D-AEEC-185E31EDB0D4}"/>
  </w:font>
  <w:font w:name="Times New Roman">
    <w:panose1 w:val="02020603050405020304"/>
    <w:charset w:val="00"/>
    <w:family w:val="roman"/>
    <w:pitch w:val="variable"/>
    <w:sig w:usb0="E0002EFF" w:usb1="C000785B" w:usb2="00000009" w:usb3="00000000" w:csb0="000001FF" w:csb1="00000000"/>
    <w:embedRegular r:id="rId2" w:fontKey="{DDE50DAD-29E6-744A-94AF-CF81EBCB44CB}"/>
    <w:embedBold r:id="rId3" w:fontKey="{5E680206-3EB5-6343-99BA-3108B3DABDF0}"/>
    <w:embedItalic r:id="rId4" w:fontKey="{5B38E4A2-5E0F-0C45-B419-41B5FED7CC80}"/>
    <w:embedBoldItalic r:id="rId5" w:fontKey="{7EC14045-2C4D-9D46-B17B-523C88677572}"/>
  </w:font>
  <w:font w:name="Courier New">
    <w:panose1 w:val="02070309020205020404"/>
    <w:charset w:val="00"/>
    <w:family w:val="modern"/>
    <w:pitch w:val="fixed"/>
    <w:sig w:usb0="E0002AFF" w:usb1="C0007843" w:usb2="00000009" w:usb3="00000000" w:csb0="000001FF" w:csb1="00000000"/>
    <w:embedRegular r:id="rId6" w:fontKey="{1990E39E-299D-5C4F-97F1-1C64A9E1DE88}"/>
  </w:font>
  <w:font w:name="Wingdings">
    <w:panose1 w:val="05000000000000000000"/>
    <w:charset w:val="02"/>
    <w:family w:val="auto"/>
    <w:pitch w:val="variable"/>
    <w:sig w:usb0="00000000" w:usb1="10000000" w:usb2="00000000" w:usb3="00000000" w:csb0="80000000" w:csb1="00000000"/>
    <w:embedRegular r:id="rId7" w:fontKey="{21D033B9-22C1-3045-A006-BA9AB1E846E5}"/>
  </w:font>
  <w:font w:name="Cambria">
    <w:panose1 w:val="02040503050406030204"/>
    <w:charset w:val="00"/>
    <w:family w:val="roman"/>
    <w:pitch w:val="variable"/>
    <w:sig w:usb0="E00006FF" w:usb1="420024FF" w:usb2="02000000" w:usb3="00000000" w:csb0="0000019F" w:csb1="00000000"/>
    <w:embedRegular r:id="rId8" w:fontKey="{D000DB14-58D2-574F-A46E-4967ECD44AF2}"/>
    <w:embedBold r:id="rId9" w:fontKey="{E2DF7B34-6B86-BD4B-8B0D-8CB41C656ABD}"/>
    <w:embedItalic r:id="rId10" w:fontKey="{EC1C374B-D312-6C41-BA42-45803393AEDA}"/>
  </w:font>
  <w:font w:name="Calibri">
    <w:panose1 w:val="020F0502020204030204"/>
    <w:charset w:val="00"/>
    <w:family w:val="swiss"/>
    <w:pitch w:val="variable"/>
    <w:sig w:usb0="E4002EFF" w:usb1="C000247B" w:usb2="00000009" w:usb3="00000000" w:csb0="000001FF" w:csb1="00000000"/>
    <w:embedRegular r:id="rId11" w:fontKey="{9647AD02-3ACB-A64B-9949-FAF1F9EEA96B}"/>
    <w:embedBold r:id="rId12" w:fontKey="{9867D43C-0689-E445-8598-7BEE3237E452}"/>
    <w:embedItalic r:id="rId13" w:fontKey="{9D25CCB2-1317-FD48-94D1-8FE4E85B2DA8}"/>
  </w:font>
  <w:font w:name="Calibri Light">
    <w:panose1 w:val="020F0302020204030204"/>
    <w:charset w:val="00"/>
    <w:family w:val="swiss"/>
    <w:pitch w:val="variable"/>
    <w:sig w:usb0="E4002EFF" w:usb1="C000247B" w:usb2="00000009" w:usb3="00000000" w:csb0="000001FF" w:csb1="00000000"/>
    <w:embedRegular r:id="rId14" w:fontKey="{EABBAA99-12DE-F34A-8ABC-F8B71D8D7A91}"/>
    <w:embedBold r:id="rId15" w:fontKey="{A89FFC2C-6FD0-6B43-8002-0EB726A04915}"/>
    <w:embedItalic r:id="rId16" w:fontKey="{B0616745-5ABD-FE4F-B39D-AAA2A3BD5421}"/>
    <w:embedBoldItalic r:id="rId17" w:fontKey="{4BD85CA8-5A6D-734F-A059-29ABA7C06AE7}"/>
  </w:font>
  <w:font w:name="Segoe UI">
    <w:altName w:val="Sylfaen"/>
    <w:panose1 w:val="020B0502040204020203"/>
    <w:charset w:val="00"/>
    <w:family w:val="swiss"/>
    <w:pitch w:val="variable"/>
    <w:sig w:usb0="E4002EFF" w:usb1="C000E47F" w:usb2="00000009" w:usb3="00000000" w:csb0="000001FF" w:csb1="00000000"/>
    <w:embedRegular r:id="rId18" w:fontKey="{C6C55E1C-9F2D-0A4C-B907-AC2CA33008F2}"/>
  </w:font>
  <w:font w:name="Liberation Serif">
    <w:altName w:val="Times New Roman"/>
    <w:panose1 w:val="020B0604020202020204"/>
    <w:charset w:val="00"/>
    <w:family w:val="roman"/>
    <w:pitch w:val="variable"/>
    <w:sig w:usb0="E0000AFF" w:usb1="500078FF" w:usb2="00000021" w:usb3="00000000" w:csb0="000001BF" w:csb1="00000000"/>
  </w:font>
  <w:font w:name="WenQuanYi Micro Hei">
    <w:panose1 w:val="020B0604020202020204"/>
    <w:charset w:val="00"/>
    <w:family w:val="auto"/>
    <w:pitch w:val="variable"/>
  </w:font>
  <w:font w:name="Lohit Devanagari">
    <w:altName w:val="Calibri"/>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embedRegular r:id="rId22" w:fontKey="{3BF3DFB1-D3D0-574F-842A-3FC75722A720}"/>
  </w:font>
  <w:font w:name="Verdana">
    <w:panose1 w:val="020B0604030504040204"/>
    <w:charset w:val="00"/>
    <w:family w:val="swiss"/>
    <w:pitch w:val="variable"/>
    <w:sig w:usb0="A10006FF" w:usb1="4000205B" w:usb2="00000010" w:usb3="00000000" w:csb0="0000019F" w:csb1="00000000"/>
    <w:embedRegular r:id="rId23" w:fontKey="{03F05664-2141-9B42-B583-83D32550EB79}"/>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9F26F" w14:textId="77777777" w:rsidR="000632F0" w:rsidRDefault="000632F0" w:rsidP="007151D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13DA85E6" w14:textId="77777777" w:rsidTr="000632F0">
      <w:trPr>
        <w:trHeight w:val="318"/>
      </w:trPr>
      <w:tc>
        <w:tcPr>
          <w:tcW w:w="1858" w:type="dxa"/>
        </w:tcPr>
        <w:p w14:paraId="4A64CD57" w14:textId="77777777" w:rsidR="000632F0" w:rsidRDefault="000632F0" w:rsidP="00D27CB1">
          <w:pPr>
            <w:pStyle w:val="Piedepgina"/>
            <w:jc w:val="center"/>
          </w:pPr>
          <w:r>
            <w:rPr>
              <w:noProof/>
              <w:lang w:val="en-US"/>
            </w:rPr>
            <w:drawing>
              <wp:inline distT="0" distB="0" distL="0" distR="0" wp14:anchorId="414F7D3B" wp14:editId="21840E83">
                <wp:extent cx="1011555" cy="314960"/>
                <wp:effectExtent l="0" t="0" r="4445" b="2540"/>
                <wp:docPr id="4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18266417"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2339C0B5" w14:textId="77777777" w:rsidR="000632F0" w:rsidRDefault="000632F0" w:rsidP="007151D2">
    <w:pPr>
      <w:pStyle w:val="Piedepgina"/>
      <w:jc w:val="center"/>
    </w:pPr>
  </w:p>
  <w:p w14:paraId="79A2B17F" w14:textId="614AF773" w:rsidR="000632F0" w:rsidRDefault="000632F0" w:rsidP="00624884">
    <w:pPr>
      <w:pStyle w:val="Piedepgina"/>
      <w:jc w:val="center"/>
    </w:pPr>
    <w:r>
      <w:t xml:space="preserve">Revista Cátedra, </w:t>
    </w:r>
    <w:r w:rsidR="00053A40">
      <w:rPr>
        <w:i/>
        <w:iCs/>
      </w:rPr>
      <w:t>7</w:t>
    </w:r>
    <w:r w:rsidR="00053A40">
      <w:t>(</w:t>
    </w:r>
    <w:r w:rsidR="00053A40">
      <w:rPr>
        <w:iCs/>
      </w:rPr>
      <w:t>1</w:t>
    </w:r>
    <w:r w:rsidR="00053A40">
      <w:t xml:space="preserve">), pp. 4-5, </w:t>
    </w:r>
    <w:proofErr w:type="spellStart"/>
    <w:r w:rsidR="00053A40">
      <w:t>January</w:t>
    </w:r>
    <w:proofErr w:type="spellEnd"/>
    <w:r w:rsidR="00053A40">
      <w:t xml:space="preserve">-June 2024. e-ISSN: </w:t>
    </w:r>
    <w:r w:rsidR="00053A40" w:rsidRPr="00ED1687">
      <w:t>2631-2875</w:t>
    </w:r>
  </w:p>
  <w:p w14:paraId="71805BDB" w14:textId="77777777" w:rsidR="000632F0" w:rsidRDefault="000632F0" w:rsidP="007151D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2DA65" w14:textId="77777777" w:rsidR="000632F0" w:rsidRDefault="000632F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2D58C860" w14:textId="77777777" w:rsidTr="000632F0">
      <w:trPr>
        <w:trHeight w:val="318"/>
      </w:trPr>
      <w:tc>
        <w:tcPr>
          <w:tcW w:w="1858" w:type="dxa"/>
        </w:tcPr>
        <w:p w14:paraId="605A9AAD" w14:textId="77777777" w:rsidR="000632F0" w:rsidRDefault="000632F0" w:rsidP="00D27CB1">
          <w:pPr>
            <w:pStyle w:val="Piedepgina"/>
            <w:jc w:val="center"/>
          </w:pPr>
          <w:r>
            <w:rPr>
              <w:noProof/>
              <w:lang w:val="en-US"/>
            </w:rPr>
            <w:drawing>
              <wp:inline distT="0" distB="0" distL="0" distR="0" wp14:anchorId="420BCCF6" wp14:editId="59C2DB26">
                <wp:extent cx="1011555" cy="314960"/>
                <wp:effectExtent l="0" t="0" r="4445" b="2540"/>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0EECCBF2"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6E1AC4AE" w14:textId="77777777" w:rsidR="000632F0" w:rsidRDefault="000632F0" w:rsidP="001B5B04">
    <w:pPr>
      <w:pStyle w:val="Piedepgina"/>
      <w:jc w:val="center"/>
    </w:pPr>
  </w:p>
  <w:p w14:paraId="323DF448" w14:textId="2EDC3D95" w:rsidR="000632F0" w:rsidRPr="00F14768" w:rsidRDefault="000632F0" w:rsidP="001B5B04">
    <w:pPr>
      <w:pStyle w:val="Piedepgina"/>
      <w:jc w:val="center"/>
    </w:pPr>
    <w:r>
      <w:t xml:space="preserve">Revista Cátedra, </w:t>
    </w:r>
    <w:r w:rsidR="00053A40">
      <w:rPr>
        <w:i/>
        <w:iCs/>
      </w:rPr>
      <w:t>7</w:t>
    </w:r>
    <w:r w:rsidR="00053A40">
      <w:t>(</w:t>
    </w:r>
    <w:r w:rsidR="00053A40">
      <w:rPr>
        <w:iCs/>
      </w:rPr>
      <w:t>1</w:t>
    </w:r>
    <w:r w:rsidR="00053A40">
      <w:t xml:space="preserve">), pp. 4-5, </w:t>
    </w:r>
    <w:proofErr w:type="spellStart"/>
    <w:r w:rsidR="00053A40">
      <w:t>January</w:t>
    </w:r>
    <w:proofErr w:type="spellEnd"/>
    <w:r w:rsidR="00053A40">
      <w:t xml:space="preserve">-June 2024. e-ISSN: </w:t>
    </w:r>
    <w:r w:rsidR="00053A40" w:rsidRPr="00ED1687">
      <w:t>2631-2875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2F5B8" w14:textId="77777777" w:rsidR="000632F0" w:rsidRDefault="000632F0" w:rsidP="00A8649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0632F0" w14:paraId="0177708A" w14:textId="77777777" w:rsidTr="000632F0">
      <w:trPr>
        <w:trHeight w:val="318"/>
      </w:trPr>
      <w:tc>
        <w:tcPr>
          <w:tcW w:w="1858" w:type="dxa"/>
        </w:tcPr>
        <w:p w14:paraId="4F6A7929" w14:textId="77777777" w:rsidR="000632F0" w:rsidRDefault="000632F0" w:rsidP="00D27CB1">
          <w:pPr>
            <w:pStyle w:val="Piedepgina"/>
            <w:jc w:val="center"/>
          </w:pPr>
          <w:r>
            <w:rPr>
              <w:noProof/>
              <w:lang w:val="en-US"/>
            </w:rPr>
            <w:drawing>
              <wp:inline distT="0" distB="0" distL="0" distR="0" wp14:anchorId="5E251235" wp14:editId="4F385E4F">
                <wp:extent cx="1011555" cy="314960"/>
                <wp:effectExtent l="0" t="0" r="4445" b="2540"/>
                <wp:docPr id="3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14960"/>
                        </a:xfrm>
                        <a:prstGeom prst="rect">
                          <a:avLst/>
                        </a:prstGeom>
                        <a:noFill/>
                        <a:ln>
                          <a:noFill/>
                        </a:ln>
                      </pic:spPr>
                    </pic:pic>
                  </a:graphicData>
                </a:graphic>
              </wp:inline>
            </w:drawing>
          </w:r>
        </w:p>
      </w:tc>
      <w:tc>
        <w:tcPr>
          <w:tcW w:w="6646" w:type="dxa"/>
        </w:tcPr>
        <w:p w14:paraId="42B6FF93" w14:textId="77777777" w:rsidR="000632F0" w:rsidRDefault="000632F0" w:rsidP="00D27CB1">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23780357" w14:textId="77777777" w:rsidR="000632F0" w:rsidRDefault="000632F0" w:rsidP="00A86491">
    <w:pPr>
      <w:pStyle w:val="Piedepgina"/>
      <w:jc w:val="center"/>
    </w:pPr>
  </w:p>
  <w:p w14:paraId="539C9985" w14:textId="77777777" w:rsidR="00F20AC9" w:rsidRPr="00B22065" w:rsidRDefault="00F20AC9" w:rsidP="00F20AC9">
    <w:pPr>
      <w:pStyle w:val="Piedepgina"/>
      <w:jc w:val="center"/>
      <w:rPr>
        <w:lang w:val="en-US"/>
      </w:rPr>
    </w:pPr>
    <w:proofErr w:type="spellStart"/>
    <w:r w:rsidRPr="00B22065">
      <w:rPr>
        <w:lang w:val="en-US"/>
      </w:rPr>
      <w:t>Cátedra</w:t>
    </w:r>
    <w:proofErr w:type="spellEnd"/>
    <w:r w:rsidRPr="00B22065">
      <w:rPr>
        <w:lang w:val="en-US"/>
      </w:rPr>
      <w:t xml:space="preserve"> magazine</w:t>
    </w:r>
    <w:r>
      <w:rPr>
        <w:lang w:val="en-US"/>
      </w:rPr>
      <w:t>,</w:t>
    </w:r>
    <w:r w:rsidRPr="00B22065">
      <w:rPr>
        <w:lang w:val="en-US"/>
      </w:rPr>
      <w:t xml:space="preserve"> e-ISSN: 1234-5678</w:t>
    </w:r>
  </w:p>
  <w:p w14:paraId="7A3BA982" w14:textId="0C271D52" w:rsidR="000632F0" w:rsidRDefault="000632F0" w:rsidP="00A8649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AF43E" w14:textId="77777777" w:rsidR="003C1DCF" w:rsidRDefault="003C1DCF" w:rsidP="001B5B04">
      <w:pPr>
        <w:spacing w:after="0"/>
      </w:pPr>
      <w:r>
        <w:separator/>
      </w:r>
    </w:p>
    <w:p w14:paraId="4838CC7C" w14:textId="77777777" w:rsidR="003C1DCF" w:rsidRDefault="003C1DCF"/>
  </w:footnote>
  <w:footnote w:type="continuationSeparator" w:id="0">
    <w:p w14:paraId="75DA46E0" w14:textId="77777777" w:rsidR="003C1DCF" w:rsidRDefault="003C1DCF" w:rsidP="001B5B04">
      <w:pPr>
        <w:spacing w:after="0"/>
      </w:pPr>
      <w:r>
        <w:continuationSeparator/>
      </w:r>
    </w:p>
    <w:p w14:paraId="51DE0891" w14:textId="77777777" w:rsidR="003C1DCF" w:rsidRDefault="003C1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CCD0C" w14:textId="77777777" w:rsidR="00880368" w:rsidRDefault="008803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2D3E" w14:textId="77777777" w:rsidR="00880368" w:rsidRDefault="0088036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1202A" w14:textId="77777777" w:rsidR="00880368" w:rsidRDefault="008803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C5E"/>
    <w:multiLevelType w:val="hybridMultilevel"/>
    <w:tmpl w:val="E6226C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417BB0"/>
    <w:multiLevelType w:val="hybridMultilevel"/>
    <w:tmpl w:val="306CFA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pStyle w:val="Ttulo1"/>
      <w:lvlText w:val="%1."/>
      <w:lvlJc w:val="left"/>
      <w:pPr>
        <w:ind w:left="857"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068109E"/>
    <w:multiLevelType w:val="hybridMultilevel"/>
    <w:tmpl w:val="146CE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A179E"/>
    <w:multiLevelType w:val="hybridMultilevel"/>
    <w:tmpl w:val="E3EA17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31A00FF"/>
    <w:multiLevelType w:val="hybridMultilevel"/>
    <w:tmpl w:val="E452D88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84373E1"/>
    <w:multiLevelType w:val="hybridMultilevel"/>
    <w:tmpl w:val="7EA285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573184"/>
    <w:multiLevelType w:val="hybridMultilevel"/>
    <w:tmpl w:val="BD7CD8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F8D092A"/>
    <w:multiLevelType w:val="hybridMultilevel"/>
    <w:tmpl w:val="5D2E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E4032"/>
    <w:multiLevelType w:val="hybridMultilevel"/>
    <w:tmpl w:val="62B6485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248C506A"/>
    <w:multiLevelType w:val="hybridMultilevel"/>
    <w:tmpl w:val="D11CA5D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2B9239B9"/>
    <w:multiLevelType w:val="hybridMultilevel"/>
    <w:tmpl w:val="E5AEF350"/>
    <w:lvl w:ilvl="0" w:tplc="300A0003">
      <w:start w:val="1"/>
      <w:numFmt w:val="bullet"/>
      <w:lvlText w:val="o"/>
      <w:lvlJc w:val="left"/>
      <w:pPr>
        <w:ind w:left="720" w:hanging="360"/>
      </w:pPr>
      <w:rPr>
        <w:rFonts w:ascii="Courier New" w:hAnsi="Courier New" w:cs="Courier New" w:hint="default"/>
      </w:rPr>
    </w:lvl>
    <w:lvl w:ilvl="1" w:tplc="FCEEE5DE">
      <w:numFmt w:val="bullet"/>
      <w:lvlText w:val="•"/>
      <w:lvlJc w:val="left"/>
      <w:pPr>
        <w:ind w:left="1785" w:hanging="705"/>
      </w:pPr>
      <w:rPr>
        <w:rFonts w:ascii="Cambria" w:eastAsiaTheme="minorHAnsi" w:hAnsi="Cambria" w:cstheme="minorBid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BF060B0"/>
    <w:multiLevelType w:val="hybridMultilevel"/>
    <w:tmpl w:val="07FEEC6E"/>
    <w:lvl w:ilvl="0" w:tplc="04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A3A1D"/>
    <w:multiLevelType w:val="hybridMultilevel"/>
    <w:tmpl w:val="63A29296"/>
    <w:lvl w:ilvl="0" w:tplc="01DCC518">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11A7124"/>
    <w:multiLevelType w:val="hybridMultilevel"/>
    <w:tmpl w:val="D2A6E42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476D6C8A"/>
    <w:multiLevelType w:val="hybridMultilevel"/>
    <w:tmpl w:val="660A0C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935403F"/>
    <w:multiLevelType w:val="hybridMultilevel"/>
    <w:tmpl w:val="F5F6AA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C9C4A68"/>
    <w:multiLevelType w:val="multilevel"/>
    <w:tmpl w:val="75A47B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E636FB"/>
    <w:multiLevelType w:val="hybridMultilevel"/>
    <w:tmpl w:val="0A2EF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3645E51"/>
    <w:multiLevelType w:val="hybridMultilevel"/>
    <w:tmpl w:val="FE582A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3762B57"/>
    <w:multiLevelType w:val="multilevel"/>
    <w:tmpl w:val="B9068B7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80E4D2B"/>
    <w:multiLevelType w:val="hybridMultilevel"/>
    <w:tmpl w:val="046E578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AA23733"/>
    <w:multiLevelType w:val="hybridMultilevel"/>
    <w:tmpl w:val="CF8846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44C78E9"/>
    <w:multiLevelType w:val="hybridMultilevel"/>
    <w:tmpl w:val="96A00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9095E3E"/>
    <w:multiLevelType w:val="multilevel"/>
    <w:tmpl w:val="6ECC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B5275"/>
    <w:multiLevelType w:val="hybridMultilevel"/>
    <w:tmpl w:val="55DC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A0042"/>
    <w:multiLevelType w:val="hybridMultilevel"/>
    <w:tmpl w:val="A0263EA0"/>
    <w:lvl w:ilvl="0" w:tplc="D2AA6E0E">
      <w:start w:val="1"/>
      <w:numFmt w:val="decimal"/>
      <w:lvlText w:val="%1."/>
      <w:lvlJc w:val="left"/>
      <w:pPr>
        <w:ind w:left="735" w:hanging="375"/>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15:restartNumberingAfterBreak="0">
    <w:nsid w:val="71FB0A63"/>
    <w:multiLevelType w:val="multilevel"/>
    <w:tmpl w:val="2132EBC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21D0888"/>
    <w:multiLevelType w:val="hybridMultilevel"/>
    <w:tmpl w:val="50EE4D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5186AED"/>
    <w:multiLevelType w:val="multilevel"/>
    <w:tmpl w:val="09DED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90353"/>
    <w:multiLevelType w:val="hybridMultilevel"/>
    <w:tmpl w:val="6E74EE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7785724">
    <w:abstractNumId w:val="2"/>
  </w:num>
  <w:num w:numId="2" w16cid:durableId="363559659">
    <w:abstractNumId w:val="28"/>
  </w:num>
  <w:num w:numId="3" w16cid:durableId="1650283612">
    <w:abstractNumId w:val="1"/>
  </w:num>
  <w:num w:numId="4" w16cid:durableId="1511484533">
    <w:abstractNumId w:val="6"/>
  </w:num>
  <w:num w:numId="5" w16cid:durableId="1868059798">
    <w:abstractNumId w:val="30"/>
  </w:num>
  <w:num w:numId="6" w16cid:durableId="1781876436">
    <w:abstractNumId w:val="23"/>
  </w:num>
  <w:num w:numId="7" w16cid:durableId="611282725">
    <w:abstractNumId w:val="22"/>
  </w:num>
  <w:num w:numId="8" w16cid:durableId="1158423743">
    <w:abstractNumId w:val="18"/>
  </w:num>
  <w:num w:numId="9" w16cid:durableId="1248922995">
    <w:abstractNumId w:val="29"/>
  </w:num>
  <w:num w:numId="10" w16cid:durableId="1659771255">
    <w:abstractNumId w:val="24"/>
  </w:num>
  <w:num w:numId="11" w16cid:durableId="123545388">
    <w:abstractNumId w:val="0"/>
  </w:num>
  <w:num w:numId="12" w16cid:durableId="907879898">
    <w:abstractNumId w:val="7"/>
  </w:num>
  <w:num w:numId="13" w16cid:durableId="1408654902">
    <w:abstractNumId w:val="13"/>
  </w:num>
  <w:num w:numId="14" w16cid:durableId="883178962">
    <w:abstractNumId w:val="12"/>
  </w:num>
  <w:num w:numId="15" w16cid:durableId="42874564">
    <w:abstractNumId w:val="17"/>
  </w:num>
  <w:num w:numId="16" w16cid:durableId="325741246">
    <w:abstractNumId w:val="4"/>
  </w:num>
  <w:num w:numId="17" w16cid:durableId="1456407074">
    <w:abstractNumId w:val="21"/>
  </w:num>
  <w:num w:numId="18" w16cid:durableId="1369145171">
    <w:abstractNumId w:val="5"/>
  </w:num>
  <w:num w:numId="19" w16cid:durableId="1037046989">
    <w:abstractNumId w:val="11"/>
  </w:num>
  <w:num w:numId="20" w16cid:durableId="397944435">
    <w:abstractNumId w:val="14"/>
  </w:num>
  <w:num w:numId="21" w16cid:durableId="1770193507">
    <w:abstractNumId w:val="16"/>
  </w:num>
  <w:num w:numId="22" w16cid:durableId="1717268312">
    <w:abstractNumId w:val="2"/>
    <w:lvlOverride w:ilvl="0">
      <w:startOverride w:val="1"/>
    </w:lvlOverride>
    <w:lvlOverride w:ilvl="1">
      <w:startOverride w:val="1"/>
    </w:lvlOverride>
    <w:lvlOverride w:ilvl="2">
      <w:startOverride w:val="1"/>
    </w:lvlOverride>
  </w:num>
  <w:num w:numId="23" w16cid:durableId="238055520">
    <w:abstractNumId w:val="2"/>
    <w:lvlOverride w:ilvl="0">
      <w:startOverride w:val="1"/>
    </w:lvlOverride>
    <w:lvlOverride w:ilvl="1">
      <w:startOverride w:val="3"/>
    </w:lvlOverride>
  </w:num>
  <w:num w:numId="24" w16cid:durableId="1766488024">
    <w:abstractNumId w:val="2"/>
    <w:lvlOverride w:ilvl="0">
      <w:startOverride w:val="3"/>
    </w:lvlOverride>
    <w:lvlOverride w:ilvl="1">
      <w:startOverride w:val="3"/>
    </w:lvlOverride>
  </w:num>
  <w:num w:numId="25" w16cid:durableId="1927298431">
    <w:abstractNumId w:val="15"/>
  </w:num>
  <w:num w:numId="26" w16cid:durableId="1277761557">
    <w:abstractNumId w:val="9"/>
  </w:num>
  <w:num w:numId="27" w16cid:durableId="848833023">
    <w:abstractNumId w:val="10"/>
  </w:num>
  <w:num w:numId="28" w16cid:durableId="304434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0223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678991">
    <w:abstractNumId w:val="26"/>
  </w:num>
  <w:num w:numId="31" w16cid:durableId="874149126">
    <w:abstractNumId w:val="8"/>
  </w:num>
  <w:num w:numId="32" w16cid:durableId="1533879003">
    <w:abstractNumId w:val="3"/>
  </w:num>
  <w:num w:numId="33" w16cid:durableId="3027361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6545094">
    <w:abstractNumId w:val="19"/>
  </w:num>
  <w:num w:numId="35" w16cid:durableId="1709376646">
    <w:abstractNumId w:val="20"/>
  </w:num>
  <w:num w:numId="36" w16cid:durableId="367754264">
    <w:abstractNumId w:val="27"/>
  </w:num>
  <w:num w:numId="37" w16cid:durableId="70741487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hideSpelling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A"/>
    <w:rsid w:val="00002870"/>
    <w:rsid w:val="00002E89"/>
    <w:rsid w:val="000067AD"/>
    <w:rsid w:val="00006970"/>
    <w:rsid w:val="00011812"/>
    <w:rsid w:val="0002346C"/>
    <w:rsid w:val="0004028F"/>
    <w:rsid w:val="0004383D"/>
    <w:rsid w:val="00044359"/>
    <w:rsid w:val="00046CDC"/>
    <w:rsid w:val="0004736B"/>
    <w:rsid w:val="00053A40"/>
    <w:rsid w:val="00057D09"/>
    <w:rsid w:val="000632F0"/>
    <w:rsid w:val="00081796"/>
    <w:rsid w:val="000913B1"/>
    <w:rsid w:val="00091926"/>
    <w:rsid w:val="00094504"/>
    <w:rsid w:val="000A7D6D"/>
    <w:rsid w:val="000B0135"/>
    <w:rsid w:val="000C72F7"/>
    <w:rsid w:val="000C7B54"/>
    <w:rsid w:val="000E5098"/>
    <w:rsid w:val="000F1BB4"/>
    <w:rsid w:val="00100915"/>
    <w:rsid w:val="00102A6E"/>
    <w:rsid w:val="00107FCC"/>
    <w:rsid w:val="001229F3"/>
    <w:rsid w:val="001344BE"/>
    <w:rsid w:val="00135228"/>
    <w:rsid w:val="00143D9C"/>
    <w:rsid w:val="001471EF"/>
    <w:rsid w:val="00151F4A"/>
    <w:rsid w:val="00163E31"/>
    <w:rsid w:val="001646A1"/>
    <w:rsid w:val="001729C3"/>
    <w:rsid w:val="001736B1"/>
    <w:rsid w:val="00177642"/>
    <w:rsid w:val="00184E3F"/>
    <w:rsid w:val="001858AC"/>
    <w:rsid w:val="00186923"/>
    <w:rsid w:val="001871CA"/>
    <w:rsid w:val="001914D1"/>
    <w:rsid w:val="00191647"/>
    <w:rsid w:val="0019539D"/>
    <w:rsid w:val="001953AD"/>
    <w:rsid w:val="00197CCF"/>
    <w:rsid w:val="001A6391"/>
    <w:rsid w:val="001B5B04"/>
    <w:rsid w:val="001B5B2A"/>
    <w:rsid w:val="001C7C52"/>
    <w:rsid w:val="001D0EEC"/>
    <w:rsid w:val="001D7336"/>
    <w:rsid w:val="001D747A"/>
    <w:rsid w:val="001E2480"/>
    <w:rsid w:val="001E3AF7"/>
    <w:rsid w:val="001F1A24"/>
    <w:rsid w:val="00206CEA"/>
    <w:rsid w:val="0021302C"/>
    <w:rsid w:val="00213359"/>
    <w:rsid w:val="002138A5"/>
    <w:rsid w:val="00216598"/>
    <w:rsid w:val="0021685C"/>
    <w:rsid w:val="0022040B"/>
    <w:rsid w:val="002245D7"/>
    <w:rsid w:val="002247EB"/>
    <w:rsid w:val="00224C3F"/>
    <w:rsid w:val="00224FC9"/>
    <w:rsid w:val="00230396"/>
    <w:rsid w:val="002544D3"/>
    <w:rsid w:val="0026188E"/>
    <w:rsid w:val="00265353"/>
    <w:rsid w:val="002665D5"/>
    <w:rsid w:val="00271052"/>
    <w:rsid w:val="0027232D"/>
    <w:rsid w:val="0027276D"/>
    <w:rsid w:val="0027276F"/>
    <w:rsid w:val="00283B5D"/>
    <w:rsid w:val="00284F6B"/>
    <w:rsid w:val="00297E4F"/>
    <w:rsid w:val="002A1B87"/>
    <w:rsid w:val="002A2FD0"/>
    <w:rsid w:val="002C4336"/>
    <w:rsid w:val="002C4FD5"/>
    <w:rsid w:val="002D0F92"/>
    <w:rsid w:val="002D60D0"/>
    <w:rsid w:val="002D7BA7"/>
    <w:rsid w:val="002E61BA"/>
    <w:rsid w:val="002F3B1C"/>
    <w:rsid w:val="002F70E6"/>
    <w:rsid w:val="0030341A"/>
    <w:rsid w:val="003174E2"/>
    <w:rsid w:val="00322D32"/>
    <w:rsid w:val="00334088"/>
    <w:rsid w:val="003443DF"/>
    <w:rsid w:val="0034562D"/>
    <w:rsid w:val="00347DEC"/>
    <w:rsid w:val="00356B71"/>
    <w:rsid w:val="003633AA"/>
    <w:rsid w:val="003638AC"/>
    <w:rsid w:val="003720E3"/>
    <w:rsid w:val="00373ACF"/>
    <w:rsid w:val="00381DFA"/>
    <w:rsid w:val="003834A4"/>
    <w:rsid w:val="003855F6"/>
    <w:rsid w:val="00385691"/>
    <w:rsid w:val="00393789"/>
    <w:rsid w:val="003A3DFB"/>
    <w:rsid w:val="003A5A9A"/>
    <w:rsid w:val="003B01D4"/>
    <w:rsid w:val="003B5B6C"/>
    <w:rsid w:val="003C1DCF"/>
    <w:rsid w:val="003C6ED1"/>
    <w:rsid w:val="003C7CB4"/>
    <w:rsid w:val="003D1E67"/>
    <w:rsid w:val="003E1C5E"/>
    <w:rsid w:val="003E4228"/>
    <w:rsid w:val="004001CC"/>
    <w:rsid w:val="00403434"/>
    <w:rsid w:val="00410026"/>
    <w:rsid w:val="00410D5C"/>
    <w:rsid w:val="00416B92"/>
    <w:rsid w:val="00420C65"/>
    <w:rsid w:val="00423986"/>
    <w:rsid w:val="0043038F"/>
    <w:rsid w:val="004314D1"/>
    <w:rsid w:val="004329A6"/>
    <w:rsid w:val="00436EBD"/>
    <w:rsid w:val="00441028"/>
    <w:rsid w:val="00461423"/>
    <w:rsid w:val="00461A65"/>
    <w:rsid w:val="00465492"/>
    <w:rsid w:val="00467D1F"/>
    <w:rsid w:val="0047106D"/>
    <w:rsid w:val="0047714E"/>
    <w:rsid w:val="004824F9"/>
    <w:rsid w:val="004827B6"/>
    <w:rsid w:val="0048363A"/>
    <w:rsid w:val="00485A98"/>
    <w:rsid w:val="00493921"/>
    <w:rsid w:val="00493BC7"/>
    <w:rsid w:val="004977EB"/>
    <w:rsid w:val="004A1511"/>
    <w:rsid w:val="004B20BE"/>
    <w:rsid w:val="004C03BC"/>
    <w:rsid w:val="004C0BC5"/>
    <w:rsid w:val="004C4B2B"/>
    <w:rsid w:val="004E10CD"/>
    <w:rsid w:val="004E3E3A"/>
    <w:rsid w:val="004F5AA6"/>
    <w:rsid w:val="00502216"/>
    <w:rsid w:val="005039B3"/>
    <w:rsid w:val="005112D7"/>
    <w:rsid w:val="00513A4E"/>
    <w:rsid w:val="00520E02"/>
    <w:rsid w:val="005243D7"/>
    <w:rsid w:val="00524558"/>
    <w:rsid w:val="00525A55"/>
    <w:rsid w:val="00527F96"/>
    <w:rsid w:val="00534BC6"/>
    <w:rsid w:val="0053634D"/>
    <w:rsid w:val="0054137E"/>
    <w:rsid w:val="00546BBC"/>
    <w:rsid w:val="005566DD"/>
    <w:rsid w:val="00562853"/>
    <w:rsid w:val="005656C0"/>
    <w:rsid w:val="005748B0"/>
    <w:rsid w:val="00575BBD"/>
    <w:rsid w:val="005778B9"/>
    <w:rsid w:val="00580AC9"/>
    <w:rsid w:val="0058244E"/>
    <w:rsid w:val="005876F1"/>
    <w:rsid w:val="005911E7"/>
    <w:rsid w:val="005A0979"/>
    <w:rsid w:val="005B32F6"/>
    <w:rsid w:val="005B38B3"/>
    <w:rsid w:val="005B41E1"/>
    <w:rsid w:val="005C161D"/>
    <w:rsid w:val="005C168C"/>
    <w:rsid w:val="005C1901"/>
    <w:rsid w:val="005C3367"/>
    <w:rsid w:val="005C4602"/>
    <w:rsid w:val="005C5F86"/>
    <w:rsid w:val="005D2A72"/>
    <w:rsid w:val="005D3A9B"/>
    <w:rsid w:val="005E03BA"/>
    <w:rsid w:val="005E0FAB"/>
    <w:rsid w:val="005E244B"/>
    <w:rsid w:val="005F5F06"/>
    <w:rsid w:val="00606EEE"/>
    <w:rsid w:val="00607011"/>
    <w:rsid w:val="00617E64"/>
    <w:rsid w:val="00621C7F"/>
    <w:rsid w:val="006224BA"/>
    <w:rsid w:val="00624284"/>
    <w:rsid w:val="00624884"/>
    <w:rsid w:val="0062678D"/>
    <w:rsid w:val="00634956"/>
    <w:rsid w:val="00645DE1"/>
    <w:rsid w:val="00647B83"/>
    <w:rsid w:val="006609B5"/>
    <w:rsid w:val="00661FDE"/>
    <w:rsid w:val="00665825"/>
    <w:rsid w:val="0066651F"/>
    <w:rsid w:val="0067395E"/>
    <w:rsid w:val="00685CD2"/>
    <w:rsid w:val="0069332C"/>
    <w:rsid w:val="00694762"/>
    <w:rsid w:val="006A2AFD"/>
    <w:rsid w:val="006A4D6B"/>
    <w:rsid w:val="006A5E8E"/>
    <w:rsid w:val="006A76EF"/>
    <w:rsid w:val="006B405F"/>
    <w:rsid w:val="006B7380"/>
    <w:rsid w:val="006D20A4"/>
    <w:rsid w:val="006E5E0D"/>
    <w:rsid w:val="006F5CD4"/>
    <w:rsid w:val="00702649"/>
    <w:rsid w:val="00704D03"/>
    <w:rsid w:val="00710A17"/>
    <w:rsid w:val="007138DC"/>
    <w:rsid w:val="007141FD"/>
    <w:rsid w:val="007151D2"/>
    <w:rsid w:val="007224E2"/>
    <w:rsid w:val="00724E56"/>
    <w:rsid w:val="00731A2D"/>
    <w:rsid w:val="00732D3D"/>
    <w:rsid w:val="0073454E"/>
    <w:rsid w:val="007419C9"/>
    <w:rsid w:val="0074246B"/>
    <w:rsid w:val="00743408"/>
    <w:rsid w:val="00747A11"/>
    <w:rsid w:val="00754806"/>
    <w:rsid w:val="007622F3"/>
    <w:rsid w:val="00762947"/>
    <w:rsid w:val="00764C81"/>
    <w:rsid w:val="007650D5"/>
    <w:rsid w:val="0077254F"/>
    <w:rsid w:val="0077402D"/>
    <w:rsid w:val="0077735B"/>
    <w:rsid w:val="00780478"/>
    <w:rsid w:val="007824C5"/>
    <w:rsid w:val="00786FD2"/>
    <w:rsid w:val="00790988"/>
    <w:rsid w:val="0079131C"/>
    <w:rsid w:val="00793E61"/>
    <w:rsid w:val="007A0780"/>
    <w:rsid w:val="007A484F"/>
    <w:rsid w:val="007A63FB"/>
    <w:rsid w:val="007B3596"/>
    <w:rsid w:val="007B3B48"/>
    <w:rsid w:val="007B767F"/>
    <w:rsid w:val="007C35C4"/>
    <w:rsid w:val="007C4E03"/>
    <w:rsid w:val="007C6FFA"/>
    <w:rsid w:val="007D1E7E"/>
    <w:rsid w:val="007D3002"/>
    <w:rsid w:val="007D5698"/>
    <w:rsid w:val="00804986"/>
    <w:rsid w:val="00806E33"/>
    <w:rsid w:val="00811EC6"/>
    <w:rsid w:val="00815B3F"/>
    <w:rsid w:val="0082037D"/>
    <w:rsid w:val="0082126F"/>
    <w:rsid w:val="008270D4"/>
    <w:rsid w:val="0083190E"/>
    <w:rsid w:val="00844A34"/>
    <w:rsid w:val="00847557"/>
    <w:rsid w:val="00847DF2"/>
    <w:rsid w:val="008632A5"/>
    <w:rsid w:val="00863F21"/>
    <w:rsid w:val="0086794F"/>
    <w:rsid w:val="00875A3C"/>
    <w:rsid w:val="00880368"/>
    <w:rsid w:val="0088223C"/>
    <w:rsid w:val="008920BB"/>
    <w:rsid w:val="0089358E"/>
    <w:rsid w:val="008954AA"/>
    <w:rsid w:val="008A780B"/>
    <w:rsid w:val="008B0B4B"/>
    <w:rsid w:val="008B3026"/>
    <w:rsid w:val="008B327B"/>
    <w:rsid w:val="008B3F57"/>
    <w:rsid w:val="008B51A8"/>
    <w:rsid w:val="008C05AF"/>
    <w:rsid w:val="008C4029"/>
    <w:rsid w:val="008C5ED0"/>
    <w:rsid w:val="008E235C"/>
    <w:rsid w:val="008E4ECA"/>
    <w:rsid w:val="008E71D9"/>
    <w:rsid w:val="008F661E"/>
    <w:rsid w:val="009006FA"/>
    <w:rsid w:val="009126E1"/>
    <w:rsid w:val="00914737"/>
    <w:rsid w:val="00936C1D"/>
    <w:rsid w:val="0094624C"/>
    <w:rsid w:val="00951CDC"/>
    <w:rsid w:val="00965A44"/>
    <w:rsid w:val="0096739C"/>
    <w:rsid w:val="00970AA5"/>
    <w:rsid w:val="0097549B"/>
    <w:rsid w:val="00976717"/>
    <w:rsid w:val="009771F2"/>
    <w:rsid w:val="00980B2A"/>
    <w:rsid w:val="00986833"/>
    <w:rsid w:val="00993A0C"/>
    <w:rsid w:val="009A36BD"/>
    <w:rsid w:val="009A7094"/>
    <w:rsid w:val="009B2A83"/>
    <w:rsid w:val="009B4C7A"/>
    <w:rsid w:val="009C0661"/>
    <w:rsid w:val="009C1A49"/>
    <w:rsid w:val="009D276D"/>
    <w:rsid w:val="009D62C5"/>
    <w:rsid w:val="009D6CE2"/>
    <w:rsid w:val="009D6DAA"/>
    <w:rsid w:val="009E4F92"/>
    <w:rsid w:val="009E5984"/>
    <w:rsid w:val="009E64A7"/>
    <w:rsid w:val="009E6514"/>
    <w:rsid w:val="009E7296"/>
    <w:rsid w:val="00A05DA6"/>
    <w:rsid w:val="00A06073"/>
    <w:rsid w:val="00A13E0C"/>
    <w:rsid w:val="00A162D7"/>
    <w:rsid w:val="00A25EAA"/>
    <w:rsid w:val="00A4418F"/>
    <w:rsid w:val="00A512AE"/>
    <w:rsid w:val="00A51745"/>
    <w:rsid w:val="00A54F3F"/>
    <w:rsid w:val="00A5796F"/>
    <w:rsid w:val="00A64983"/>
    <w:rsid w:val="00A6589A"/>
    <w:rsid w:val="00A7236D"/>
    <w:rsid w:val="00A73009"/>
    <w:rsid w:val="00A73F9A"/>
    <w:rsid w:val="00A75644"/>
    <w:rsid w:val="00A8023F"/>
    <w:rsid w:val="00A86491"/>
    <w:rsid w:val="00A87E5D"/>
    <w:rsid w:val="00A90B8B"/>
    <w:rsid w:val="00A96444"/>
    <w:rsid w:val="00A97A82"/>
    <w:rsid w:val="00AA07D5"/>
    <w:rsid w:val="00AA6CDF"/>
    <w:rsid w:val="00AB2E02"/>
    <w:rsid w:val="00AB7833"/>
    <w:rsid w:val="00AC1DF4"/>
    <w:rsid w:val="00AC543F"/>
    <w:rsid w:val="00AC79BB"/>
    <w:rsid w:val="00AD48BE"/>
    <w:rsid w:val="00AD5430"/>
    <w:rsid w:val="00AE0235"/>
    <w:rsid w:val="00AE1105"/>
    <w:rsid w:val="00AE1A07"/>
    <w:rsid w:val="00AE245C"/>
    <w:rsid w:val="00AE425C"/>
    <w:rsid w:val="00AE522B"/>
    <w:rsid w:val="00AE6CB3"/>
    <w:rsid w:val="00AF247D"/>
    <w:rsid w:val="00AF2CF2"/>
    <w:rsid w:val="00B019C4"/>
    <w:rsid w:val="00B0374F"/>
    <w:rsid w:val="00B064AD"/>
    <w:rsid w:val="00B10D2A"/>
    <w:rsid w:val="00B1385D"/>
    <w:rsid w:val="00B1559B"/>
    <w:rsid w:val="00B16C44"/>
    <w:rsid w:val="00B174A9"/>
    <w:rsid w:val="00B24246"/>
    <w:rsid w:val="00B2668C"/>
    <w:rsid w:val="00B271F9"/>
    <w:rsid w:val="00B30FC3"/>
    <w:rsid w:val="00B35DB6"/>
    <w:rsid w:val="00B407B4"/>
    <w:rsid w:val="00B449C8"/>
    <w:rsid w:val="00B45AB4"/>
    <w:rsid w:val="00B4767F"/>
    <w:rsid w:val="00B51F61"/>
    <w:rsid w:val="00B56CC1"/>
    <w:rsid w:val="00B57EF4"/>
    <w:rsid w:val="00B61675"/>
    <w:rsid w:val="00B76C49"/>
    <w:rsid w:val="00B76C96"/>
    <w:rsid w:val="00B86BB5"/>
    <w:rsid w:val="00B9087E"/>
    <w:rsid w:val="00B91534"/>
    <w:rsid w:val="00B94CB0"/>
    <w:rsid w:val="00B9578A"/>
    <w:rsid w:val="00B9689A"/>
    <w:rsid w:val="00B96D0F"/>
    <w:rsid w:val="00BA06D5"/>
    <w:rsid w:val="00BB1B12"/>
    <w:rsid w:val="00BC33A8"/>
    <w:rsid w:val="00BC60FC"/>
    <w:rsid w:val="00BD039D"/>
    <w:rsid w:val="00BD0860"/>
    <w:rsid w:val="00BD1193"/>
    <w:rsid w:val="00BD1AEA"/>
    <w:rsid w:val="00BE375F"/>
    <w:rsid w:val="00BE3D76"/>
    <w:rsid w:val="00BF0AB1"/>
    <w:rsid w:val="00BF7106"/>
    <w:rsid w:val="00C0082C"/>
    <w:rsid w:val="00C0124A"/>
    <w:rsid w:val="00C045A3"/>
    <w:rsid w:val="00C0784D"/>
    <w:rsid w:val="00C119F2"/>
    <w:rsid w:val="00C15DD0"/>
    <w:rsid w:val="00C258E8"/>
    <w:rsid w:val="00C371B4"/>
    <w:rsid w:val="00C45E29"/>
    <w:rsid w:val="00C4764B"/>
    <w:rsid w:val="00C47765"/>
    <w:rsid w:val="00C547DB"/>
    <w:rsid w:val="00C5505B"/>
    <w:rsid w:val="00C644CE"/>
    <w:rsid w:val="00C81AA3"/>
    <w:rsid w:val="00C9165C"/>
    <w:rsid w:val="00C96834"/>
    <w:rsid w:val="00C97734"/>
    <w:rsid w:val="00CA384D"/>
    <w:rsid w:val="00CA6755"/>
    <w:rsid w:val="00CA7F23"/>
    <w:rsid w:val="00CD4E90"/>
    <w:rsid w:val="00CE7078"/>
    <w:rsid w:val="00CF641D"/>
    <w:rsid w:val="00CF6B6D"/>
    <w:rsid w:val="00D03948"/>
    <w:rsid w:val="00D0785C"/>
    <w:rsid w:val="00D15683"/>
    <w:rsid w:val="00D16B1E"/>
    <w:rsid w:val="00D217FD"/>
    <w:rsid w:val="00D23256"/>
    <w:rsid w:val="00D2594B"/>
    <w:rsid w:val="00D27CB1"/>
    <w:rsid w:val="00D32ED6"/>
    <w:rsid w:val="00D373C3"/>
    <w:rsid w:val="00D42559"/>
    <w:rsid w:val="00D45283"/>
    <w:rsid w:val="00D52061"/>
    <w:rsid w:val="00D614F4"/>
    <w:rsid w:val="00D76A36"/>
    <w:rsid w:val="00D76A4F"/>
    <w:rsid w:val="00D84731"/>
    <w:rsid w:val="00D86D3E"/>
    <w:rsid w:val="00D90A4E"/>
    <w:rsid w:val="00D9266B"/>
    <w:rsid w:val="00DA3182"/>
    <w:rsid w:val="00DB4085"/>
    <w:rsid w:val="00DB6E5C"/>
    <w:rsid w:val="00DC2D5F"/>
    <w:rsid w:val="00DC40F3"/>
    <w:rsid w:val="00DD32B5"/>
    <w:rsid w:val="00DD7102"/>
    <w:rsid w:val="00DE6718"/>
    <w:rsid w:val="00DF3561"/>
    <w:rsid w:val="00DF6B7A"/>
    <w:rsid w:val="00DF7B29"/>
    <w:rsid w:val="00DF7C26"/>
    <w:rsid w:val="00E108D7"/>
    <w:rsid w:val="00E118FA"/>
    <w:rsid w:val="00E13F9C"/>
    <w:rsid w:val="00E21801"/>
    <w:rsid w:val="00E33572"/>
    <w:rsid w:val="00E44B85"/>
    <w:rsid w:val="00E45FAC"/>
    <w:rsid w:val="00E50E64"/>
    <w:rsid w:val="00E51A5A"/>
    <w:rsid w:val="00E5624F"/>
    <w:rsid w:val="00E61679"/>
    <w:rsid w:val="00E66802"/>
    <w:rsid w:val="00E82E59"/>
    <w:rsid w:val="00E845F0"/>
    <w:rsid w:val="00E85761"/>
    <w:rsid w:val="00E9416F"/>
    <w:rsid w:val="00E96CDC"/>
    <w:rsid w:val="00EA0F8F"/>
    <w:rsid w:val="00EA1894"/>
    <w:rsid w:val="00EA1EF3"/>
    <w:rsid w:val="00EB0EEE"/>
    <w:rsid w:val="00EB3F0C"/>
    <w:rsid w:val="00EB45D3"/>
    <w:rsid w:val="00EB707F"/>
    <w:rsid w:val="00EE033C"/>
    <w:rsid w:val="00F01836"/>
    <w:rsid w:val="00F01F95"/>
    <w:rsid w:val="00F024B4"/>
    <w:rsid w:val="00F14768"/>
    <w:rsid w:val="00F20AC9"/>
    <w:rsid w:val="00F25709"/>
    <w:rsid w:val="00F26D0C"/>
    <w:rsid w:val="00F31BE3"/>
    <w:rsid w:val="00F326E5"/>
    <w:rsid w:val="00F6092C"/>
    <w:rsid w:val="00F67255"/>
    <w:rsid w:val="00F67DD9"/>
    <w:rsid w:val="00F72C89"/>
    <w:rsid w:val="00F82B86"/>
    <w:rsid w:val="00F83E8E"/>
    <w:rsid w:val="00F85AF2"/>
    <w:rsid w:val="00F876B1"/>
    <w:rsid w:val="00F97F1A"/>
    <w:rsid w:val="00FA4138"/>
    <w:rsid w:val="00FA7F97"/>
    <w:rsid w:val="00FB181F"/>
    <w:rsid w:val="00FB35F3"/>
    <w:rsid w:val="00FC1CC5"/>
    <w:rsid w:val="00FF04A6"/>
    <w:rsid w:val="00FF253F"/>
    <w:rsid w:val="00FF26CC"/>
    <w:rsid w:val="00FF5772"/>
    <w:rsid w:val="00FF64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docId w15:val="{2A3CB1B0-9DFC-4815-8838-CD0F1D2E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9"/>
    <w:qFormat/>
    <w:rsid w:val="004A1511"/>
    <w:pPr>
      <w:keepNext/>
      <w:keepLines/>
      <w:numPr>
        <w:numId w:val="1"/>
      </w:numPr>
      <w:spacing w:before="240" w:after="0"/>
      <w:ind w:left="432"/>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736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filiacinCar">
    <w:name w:val="Afiliación Car"/>
    <w:basedOn w:val="Fuentedeprrafopredeter"/>
    <w:link w:val="Afiliacin"/>
    <w:rsid w:val="00AF2CF2"/>
    <w:rPr>
      <w:rFonts w:ascii="Cambria" w:hAnsi="Cambria"/>
    </w:r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ReferenciaAPACar">
    <w:name w:val="Referencia APA Car"/>
    <w:basedOn w:val="Fuentedeprrafopredeter"/>
    <w:link w:val="ReferenciaAPA"/>
    <w:rsid w:val="005911E7"/>
    <w:rPr>
      <w:rFonts w:ascii="Cambria" w:hAnsi="Cambria"/>
      <w:lang w:val="en-US"/>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tulononumerado">
    <w:name w:val="Título no numerado"/>
    <w:basedOn w:val="Ttulo1"/>
    <w:next w:val="Normal"/>
    <w:link w:val="TtulononumeradoCar"/>
    <w:qFormat/>
    <w:rsid w:val="009A36BD"/>
    <w:pPr>
      <w:numPr>
        <w:numId w:val="0"/>
      </w:numPr>
    </w:p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paragraph" w:styleId="Prrafodelista">
    <w:name w:val="List Paragraph"/>
    <w:basedOn w:val="Normal"/>
    <w:link w:val="PrrafodelistaCar"/>
    <w:uiPriority w:val="34"/>
    <w:qFormat/>
    <w:rsid w:val="00811EC6"/>
    <w:pPr>
      <w:ind w:left="720"/>
      <w:contextualSpacing/>
    </w:pPr>
  </w:style>
  <w:style w:type="character" w:customStyle="1" w:styleId="PrrafodelistaCar">
    <w:name w:val="Párrafo de lista Car"/>
    <w:link w:val="Prrafodelista"/>
    <w:uiPriority w:val="34"/>
    <w:locked/>
    <w:rsid w:val="00F26D0C"/>
    <w:rPr>
      <w:rFonts w:ascii="Cambria" w:hAnsi="Cambria"/>
    </w:r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unhideWhenUsed/>
    <w:rsid w:val="007A484F"/>
    <w:pPr>
      <w:spacing w:after="0"/>
    </w:pPr>
    <w:rPr>
      <w:sz w:val="20"/>
      <w:szCs w:val="20"/>
    </w:rPr>
  </w:style>
  <w:style w:type="character" w:customStyle="1" w:styleId="TextonotapieCar">
    <w:name w:val="Texto nota pie Car"/>
    <w:basedOn w:val="Fuentedeprrafopredeter"/>
    <w:link w:val="Textonotapie"/>
    <w:uiPriority w:val="99"/>
    <w:rsid w:val="007A484F"/>
    <w:rPr>
      <w:rFonts w:ascii="Cambria" w:hAnsi="Cambria"/>
      <w:sz w:val="20"/>
      <w:szCs w:val="20"/>
    </w:rPr>
  </w:style>
  <w:style w:type="character" w:styleId="Refdenotaalpie">
    <w:name w:val="footnote reference"/>
    <w:basedOn w:val="Fuentedeprrafopredeter"/>
    <w:uiPriority w:val="99"/>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unhideWhenUsed/>
    <w:rsid w:val="00206CEA"/>
    <w:rPr>
      <w:sz w:val="16"/>
      <w:szCs w:val="16"/>
    </w:rPr>
  </w:style>
  <w:style w:type="paragraph" w:styleId="Textocomentario">
    <w:name w:val="annotation text"/>
    <w:basedOn w:val="Normal"/>
    <w:link w:val="TextocomentarioCar"/>
    <w:uiPriority w:val="99"/>
    <w:unhideWhenUsed/>
    <w:rsid w:val="00206CEA"/>
    <w:rPr>
      <w:sz w:val="20"/>
      <w:szCs w:val="20"/>
    </w:rPr>
  </w:style>
  <w:style w:type="character" w:customStyle="1" w:styleId="TextocomentarioCar">
    <w:name w:val="Texto comentario Car"/>
    <w:basedOn w:val="Fuentedeprrafopredeter"/>
    <w:link w:val="Textocomentario"/>
    <w:uiPriority w:val="99"/>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styleId="Hipervnculovisitado">
    <w:name w:val="FollowedHyperlink"/>
    <w:basedOn w:val="Fuentedeprrafopredeter"/>
    <w:uiPriority w:val="99"/>
    <w:semiHidden/>
    <w:unhideWhenUsed/>
    <w:rsid w:val="009A7094"/>
    <w:rPr>
      <w:color w:val="954F72" w:themeColor="followedHyperlink"/>
      <w:u w:val="single"/>
    </w:rPr>
  </w:style>
  <w:style w:type="character" w:customStyle="1" w:styleId="Mencinsinresolver2">
    <w:name w:val="Mención sin resolver2"/>
    <w:basedOn w:val="Fuentedeprrafopredeter"/>
    <w:uiPriority w:val="99"/>
    <w:semiHidden/>
    <w:unhideWhenUsed/>
    <w:rsid w:val="00C96834"/>
    <w:rPr>
      <w:color w:val="605E5C"/>
      <w:shd w:val="clear" w:color="auto" w:fill="E1DFDD"/>
    </w:rPr>
  </w:style>
  <w:style w:type="character" w:customStyle="1" w:styleId="req">
    <w:name w:val="req"/>
    <w:basedOn w:val="Fuentedeprrafopredeter"/>
    <w:rsid w:val="00AA07D5"/>
  </w:style>
  <w:style w:type="table" w:customStyle="1" w:styleId="Tablaconcuadrcula1">
    <w:name w:val="Tabla con cuadrícula1"/>
    <w:basedOn w:val="Tablanormal"/>
    <w:next w:val="Tablaconcuadrcula"/>
    <w:uiPriority w:val="39"/>
    <w:rsid w:val="000C72F7"/>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0C72F7"/>
    <w:pPr>
      <w:spacing w:after="0" w:line="240" w:lineRule="auto"/>
    </w:pPr>
    <w:rPr>
      <w:lang w:val="es-EC"/>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next w:val="Tablaconcuadrcula"/>
    <w:uiPriority w:val="39"/>
    <w:rsid w:val="004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B1B12"/>
    <w:pPr>
      <w:spacing w:after="0" w:line="240" w:lineRule="auto"/>
      <w:jc w:val="both"/>
    </w:pPr>
    <w:rPr>
      <w:rFonts w:ascii="Cambria" w:hAnsi="Cambria"/>
    </w:rPr>
  </w:style>
  <w:style w:type="paragraph" w:styleId="NormalWeb">
    <w:name w:val="Normal (Web)"/>
    <w:basedOn w:val="Normal"/>
    <w:uiPriority w:val="99"/>
    <w:unhideWhenUsed/>
    <w:rsid w:val="007141FD"/>
    <w:pPr>
      <w:spacing w:before="100" w:beforeAutospacing="1" w:after="100" w:afterAutospacing="1"/>
      <w:jc w:val="left"/>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unhideWhenUsed/>
    <w:rsid w:val="00F26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F26D0C"/>
    <w:rPr>
      <w:rFonts w:ascii="Courier New" w:eastAsia="Times New Roman" w:hAnsi="Courier New" w:cs="Courier New"/>
      <w:sz w:val="20"/>
      <w:szCs w:val="20"/>
      <w:lang w:eastAsia="es-ES_tradnl"/>
    </w:rPr>
  </w:style>
  <w:style w:type="character" w:customStyle="1" w:styleId="apple-converted-space">
    <w:name w:val="apple-converted-space"/>
    <w:basedOn w:val="Fuentedeprrafopredeter"/>
    <w:rsid w:val="00F26D0C"/>
  </w:style>
  <w:style w:type="paragraph" w:customStyle="1" w:styleId="Standard">
    <w:name w:val="Standard"/>
    <w:rsid w:val="00F26D0C"/>
    <w:pPr>
      <w:suppressAutoHyphens/>
      <w:autoSpaceDN w:val="0"/>
      <w:spacing w:after="0" w:line="240" w:lineRule="auto"/>
      <w:textAlignment w:val="baseline"/>
    </w:pPr>
    <w:rPr>
      <w:rFonts w:ascii="Liberation Serif" w:eastAsia="WenQuanYi Micro Hei" w:hAnsi="Liberation Serif" w:cs="Lohit Devanagari"/>
      <w:kern w:val="3"/>
      <w:sz w:val="24"/>
      <w:szCs w:val="24"/>
      <w:lang w:val="es-EC" w:eastAsia="zh-CN" w:bidi="hi-IN"/>
    </w:rPr>
  </w:style>
  <w:style w:type="character" w:customStyle="1" w:styleId="article-title">
    <w:name w:val="article-title"/>
    <w:basedOn w:val="Fuentedeprrafopredeter"/>
    <w:rsid w:val="00F26D0C"/>
  </w:style>
  <w:style w:type="character" w:customStyle="1" w:styleId="a">
    <w:name w:val="_"/>
    <w:basedOn w:val="Fuentedeprrafopredeter"/>
    <w:rsid w:val="00F26D0C"/>
  </w:style>
  <w:style w:type="character" w:customStyle="1" w:styleId="ff4">
    <w:name w:val="ff4"/>
    <w:basedOn w:val="Fuentedeprrafopredeter"/>
    <w:rsid w:val="00F26D0C"/>
  </w:style>
  <w:style w:type="character" w:customStyle="1" w:styleId="ff1">
    <w:name w:val="ff1"/>
    <w:basedOn w:val="Fuentedeprrafopredeter"/>
    <w:rsid w:val="00F26D0C"/>
  </w:style>
  <w:style w:type="paragraph" w:styleId="Revisin">
    <w:name w:val="Revision"/>
    <w:hidden/>
    <w:uiPriority w:val="99"/>
    <w:semiHidden/>
    <w:rsid w:val="00E33572"/>
    <w:pPr>
      <w:spacing w:after="0" w:line="240" w:lineRule="auto"/>
    </w:pPr>
    <w:rPr>
      <w:rFonts w:ascii="Cambria" w:hAnsi="Cambria"/>
    </w:rPr>
  </w:style>
  <w:style w:type="paragraph" w:styleId="Mapadeldocumento">
    <w:name w:val="Document Map"/>
    <w:basedOn w:val="Normal"/>
    <w:link w:val="MapadeldocumentoCar"/>
    <w:uiPriority w:val="99"/>
    <w:semiHidden/>
    <w:unhideWhenUsed/>
    <w:rsid w:val="00E33572"/>
    <w:pPr>
      <w:spacing w:after="0"/>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E33572"/>
    <w:rPr>
      <w:rFonts w:ascii="Times New Roman" w:hAnsi="Times New Roman" w:cs="Times New Roman"/>
      <w:sz w:val="24"/>
      <w:szCs w:val="24"/>
    </w:rPr>
  </w:style>
  <w:style w:type="paragraph" w:styleId="Textonotaalfinal">
    <w:name w:val="endnote text"/>
    <w:basedOn w:val="Normal"/>
    <w:link w:val="TextonotaalfinalCar"/>
    <w:uiPriority w:val="99"/>
    <w:unhideWhenUsed/>
    <w:rsid w:val="00E33572"/>
    <w:pPr>
      <w:spacing w:after="0"/>
    </w:pPr>
    <w:rPr>
      <w:sz w:val="24"/>
      <w:szCs w:val="24"/>
    </w:rPr>
  </w:style>
  <w:style w:type="character" w:customStyle="1" w:styleId="TextonotaalfinalCar">
    <w:name w:val="Texto nota al final Car"/>
    <w:basedOn w:val="Fuentedeprrafopredeter"/>
    <w:link w:val="Textonotaalfinal"/>
    <w:uiPriority w:val="99"/>
    <w:rsid w:val="00E33572"/>
    <w:rPr>
      <w:rFonts w:ascii="Cambria" w:hAnsi="Cambria"/>
      <w:sz w:val="24"/>
      <w:szCs w:val="24"/>
    </w:rPr>
  </w:style>
  <w:style w:type="character" w:styleId="Refdenotaalfinal">
    <w:name w:val="endnote reference"/>
    <w:basedOn w:val="Fuentedeprrafopredeter"/>
    <w:uiPriority w:val="99"/>
    <w:unhideWhenUsed/>
    <w:rsid w:val="00E33572"/>
    <w:rPr>
      <w:vertAlign w:val="superscript"/>
    </w:rPr>
  </w:style>
  <w:style w:type="paragraph" w:customStyle="1" w:styleId="IATED-References">
    <w:name w:val="IATED-References"/>
    <w:basedOn w:val="Ttulo"/>
    <w:autoRedefine/>
    <w:qFormat/>
    <w:rsid w:val="00E33572"/>
    <w:pPr>
      <w:numPr>
        <w:numId w:val="13"/>
      </w:numPr>
      <w:tabs>
        <w:tab w:val="left" w:pos="567"/>
      </w:tabs>
      <w:spacing w:before="120" w:after="0"/>
      <w:contextualSpacing w:val="0"/>
      <w:jc w:val="both"/>
    </w:pPr>
    <w:rPr>
      <w:rFonts w:ascii="Arial" w:eastAsia="Times New Roman" w:hAnsi="Arial" w:cs="Arial"/>
      <w:b w:val="0"/>
      <w:color w:val="auto"/>
      <w:spacing w:val="0"/>
      <w:kern w:val="0"/>
      <w:sz w:val="20"/>
      <w:szCs w:val="24"/>
      <w:lang w:eastAsia="es-ES_tradnl"/>
    </w:rPr>
  </w:style>
  <w:style w:type="paragraph" w:customStyle="1" w:styleId="IATED-CaptionTables">
    <w:name w:val="IATED-CaptionTables"/>
    <w:basedOn w:val="Descripcin"/>
    <w:next w:val="Normal"/>
    <w:qFormat/>
    <w:rsid w:val="00E33572"/>
    <w:pPr>
      <w:spacing w:before="240" w:after="0"/>
    </w:pPr>
    <w:rPr>
      <w:rFonts w:ascii="Times New Roman" w:eastAsia="Times New Roman" w:hAnsi="Times New Roman" w:cs="Times New Roman"/>
      <w:bCs/>
      <w:i/>
      <w:iCs w:val="0"/>
      <w:color w:val="auto"/>
      <w:sz w:val="24"/>
      <w:szCs w:val="20"/>
      <w:lang w:val="en-GB" w:eastAsia="es-ES_tradnl"/>
    </w:rPr>
  </w:style>
  <w:style w:type="character" w:customStyle="1" w:styleId="Mencinsinresolver3">
    <w:name w:val="Mención sin resolver3"/>
    <w:basedOn w:val="Fuentedeprrafopredeter"/>
    <w:uiPriority w:val="99"/>
    <w:rsid w:val="00E33572"/>
    <w:rPr>
      <w:color w:val="605E5C"/>
      <w:shd w:val="clear" w:color="auto" w:fill="E1DFDD"/>
    </w:rPr>
  </w:style>
  <w:style w:type="paragraph" w:customStyle="1" w:styleId="Text">
    <w:name w:val="Text"/>
    <w:basedOn w:val="Normal"/>
    <w:rsid w:val="00E33572"/>
    <w:pPr>
      <w:widowControl w:val="0"/>
      <w:autoSpaceDE w:val="0"/>
      <w:autoSpaceDN w:val="0"/>
      <w:spacing w:after="0" w:line="252" w:lineRule="auto"/>
      <w:ind w:firstLine="202"/>
    </w:pPr>
    <w:rPr>
      <w:rFonts w:ascii="Times New Roman" w:eastAsia="Times New Roman" w:hAnsi="Times New Roman" w:cs="Times New Roman"/>
      <w:sz w:val="20"/>
      <w:szCs w:val="20"/>
      <w:lang w:val="en-US"/>
    </w:rPr>
  </w:style>
  <w:style w:type="character" w:customStyle="1" w:styleId="Mencinsinresolver4">
    <w:name w:val="Mención sin resolver4"/>
    <w:basedOn w:val="Fuentedeprrafopredeter"/>
    <w:uiPriority w:val="99"/>
    <w:semiHidden/>
    <w:unhideWhenUsed/>
    <w:rsid w:val="00E33572"/>
    <w:rPr>
      <w:color w:val="605E5C"/>
      <w:shd w:val="clear" w:color="auto" w:fill="E1DFDD"/>
    </w:rPr>
  </w:style>
  <w:style w:type="table" w:styleId="Tablanormal1">
    <w:name w:val="Plain Table 1"/>
    <w:basedOn w:val="Tablanormal"/>
    <w:uiPriority w:val="41"/>
    <w:rsid w:val="002165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id-translation">
    <w:name w:val="tlid-translation"/>
    <w:basedOn w:val="Fuentedeprrafopredeter"/>
    <w:rsid w:val="005876F1"/>
  </w:style>
  <w:style w:type="paragraph" w:customStyle="1" w:styleId="TextoPrincipal">
    <w:name w:val="Texto Principal"/>
    <w:basedOn w:val="Normal"/>
    <w:link w:val="TextoPrincipalCar"/>
    <w:qFormat/>
    <w:rsid w:val="00E108D7"/>
    <w:pPr>
      <w:spacing w:after="0"/>
      <w:ind w:firstLine="425"/>
    </w:pPr>
    <w:rPr>
      <w:rFonts w:ascii="Arial" w:hAnsi="Arial" w:cs="Arial"/>
      <w:sz w:val="18"/>
      <w:szCs w:val="18"/>
      <w:lang w:val="es-MX"/>
    </w:rPr>
  </w:style>
  <w:style w:type="character" w:customStyle="1" w:styleId="TextoPrincipalCar">
    <w:name w:val="Texto Principal Car"/>
    <w:basedOn w:val="Fuentedeprrafopredeter"/>
    <w:link w:val="TextoPrincipal"/>
    <w:rsid w:val="00E108D7"/>
    <w:rPr>
      <w:rFonts w:ascii="Arial" w:hAnsi="Arial" w:cs="Arial"/>
      <w:sz w:val="18"/>
      <w:szCs w:val="18"/>
      <w:lang w:val="es-MX"/>
    </w:rPr>
  </w:style>
  <w:style w:type="paragraph" w:customStyle="1" w:styleId="Tablas">
    <w:name w:val="Tablas"/>
    <w:basedOn w:val="Normal"/>
    <w:link w:val="TablasCar"/>
    <w:qFormat/>
    <w:rsid w:val="00E108D7"/>
    <w:pPr>
      <w:spacing w:after="0" w:line="360" w:lineRule="auto"/>
      <w:jc w:val="center"/>
    </w:pPr>
    <w:rPr>
      <w:rFonts w:ascii="Arial" w:eastAsia="Times New Roman" w:hAnsi="Arial" w:cs="Arial"/>
      <w:lang w:val="es-EC"/>
    </w:rPr>
  </w:style>
  <w:style w:type="character" w:customStyle="1" w:styleId="TablasCar">
    <w:name w:val="Tablas Car"/>
    <w:basedOn w:val="Fuentedeprrafopredeter"/>
    <w:link w:val="Tablas"/>
    <w:rsid w:val="00E108D7"/>
    <w:rPr>
      <w:rFonts w:ascii="Arial" w:eastAsia="Times New Roman" w:hAnsi="Arial" w:cs="Arial"/>
      <w:lang w:val="es-EC"/>
    </w:rPr>
  </w:style>
  <w:style w:type="character" w:customStyle="1" w:styleId="normaltextrun">
    <w:name w:val="normaltextrun"/>
    <w:basedOn w:val="Fuentedeprrafopredeter"/>
    <w:rsid w:val="00E108D7"/>
  </w:style>
  <w:style w:type="character" w:customStyle="1" w:styleId="eop">
    <w:name w:val="eop"/>
    <w:basedOn w:val="Fuentedeprrafopredeter"/>
    <w:rsid w:val="00E108D7"/>
  </w:style>
  <w:style w:type="character" w:customStyle="1" w:styleId="il">
    <w:name w:val="il"/>
    <w:basedOn w:val="Fuentedeprrafopredeter"/>
    <w:rsid w:val="001D0EEC"/>
  </w:style>
  <w:style w:type="paragraph" w:customStyle="1" w:styleId="Default">
    <w:name w:val="Default"/>
    <w:rsid w:val="00E13F9C"/>
    <w:pPr>
      <w:autoSpaceDE w:val="0"/>
      <w:autoSpaceDN w:val="0"/>
      <w:adjustRightInd w:val="0"/>
      <w:spacing w:after="0" w:line="240" w:lineRule="auto"/>
    </w:pPr>
    <w:rPr>
      <w:rFonts w:ascii="Arial" w:eastAsia="Times New Roman" w:hAnsi="Arial" w:cs="Arial"/>
      <w:color w:val="000000"/>
      <w:sz w:val="24"/>
      <w:szCs w:val="24"/>
    </w:rPr>
  </w:style>
  <w:style w:type="paragraph" w:styleId="Textoindependiente">
    <w:name w:val="Body Text"/>
    <w:basedOn w:val="Normal"/>
    <w:link w:val="TextoindependienteCar"/>
    <w:rsid w:val="00CA384D"/>
    <w:pPr>
      <w:tabs>
        <w:tab w:val="left" w:pos="0"/>
      </w:tabs>
      <w:overflowPunct w:val="0"/>
      <w:autoSpaceDE w:val="0"/>
      <w:autoSpaceDN w:val="0"/>
      <w:adjustRightInd w:val="0"/>
      <w:spacing w:after="0"/>
      <w:textAlignment w:val="baseline"/>
    </w:pPr>
    <w:rPr>
      <w:rFonts w:ascii="Verdana" w:eastAsia="Times New Roman" w:hAnsi="Verdana" w:cs="Times New Roman"/>
      <w:sz w:val="24"/>
      <w:szCs w:val="20"/>
      <w:lang w:val="es-EC" w:eastAsia="es-ES"/>
    </w:rPr>
  </w:style>
  <w:style w:type="character" w:customStyle="1" w:styleId="TextoindependienteCar">
    <w:name w:val="Texto independiente Car"/>
    <w:basedOn w:val="Fuentedeprrafopredeter"/>
    <w:link w:val="Textoindependiente"/>
    <w:rsid w:val="00CA384D"/>
    <w:rPr>
      <w:rFonts w:ascii="Verdana" w:eastAsia="Times New Roman" w:hAnsi="Verdana" w:cs="Times New Roman"/>
      <w:sz w:val="24"/>
      <w:szCs w:val="20"/>
      <w:lang w:val="es-EC" w:eastAsia="es-ES"/>
    </w:rPr>
  </w:style>
  <w:style w:type="character" w:customStyle="1" w:styleId="notice-moduledetail-content">
    <w:name w:val="notice-module_detail-content"/>
    <w:basedOn w:val="Fuentedeprrafopredeter"/>
    <w:rsid w:val="00CA384D"/>
  </w:style>
  <w:style w:type="paragraph" w:customStyle="1" w:styleId="xmsonormal">
    <w:name w:val="x_msonormal"/>
    <w:basedOn w:val="Normal"/>
    <w:rsid w:val="00CA384D"/>
    <w:pPr>
      <w:spacing w:before="100" w:beforeAutospacing="1" w:after="100" w:afterAutospacing="1"/>
      <w:jc w:val="left"/>
    </w:pPr>
    <w:rPr>
      <w:rFonts w:ascii="Times" w:eastAsiaTheme="minorEastAsia" w:hAnsi="Times"/>
      <w:sz w:val="20"/>
      <w:szCs w:val="20"/>
      <w:lang w:val="es-EC" w:eastAsia="es-ES"/>
    </w:rPr>
  </w:style>
  <w:style w:type="character" w:customStyle="1" w:styleId="Mencinsinresolver5">
    <w:name w:val="Mención sin resolver5"/>
    <w:basedOn w:val="Fuentedeprrafopredeter"/>
    <w:uiPriority w:val="99"/>
    <w:semiHidden/>
    <w:unhideWhenUsed/>
    <w:rsid w:val="00CA384D"/>
    <w:rPr>
      <w:color w:val="605E5C"/>
      <w:shd w:val="clear" w:color="auto" w:fill="E1DFDD"/>
    </w:rPr>
  </w:style>
  <w:style w:type="table" w:styleId="Tabladecuadrcula4">
    <w:name w:val="Grid Table 4"/>
    <w:basedOn w:val="Tablanormal"/>
    <w:uiPriority w:val="49"/>
    <w:rsid w:val="005B32F6"/>
    <w:pPr>
      <w:spacing w:after="0" w:line="240" w:lineRule="auto"/>
    </w:pPr>
    <w:rPr>
      <w:lang w:val="es-EC"/>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6">
    <w:name w:val="Mención sin resolver6"/>
    <w:basedOn w:val="Fuentedeprrafopredeter"/>
    <w:uiPriority w:val="99"/>
    <w:semiHidden/>
    <w:unhideWhenUsed/>
    <w:rsid w:val="00FA4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786775411">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889488225">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
    <b:Tag>Ins14</b:Tag>
    <b:SourceType>InternetSite</b:SourceType>
    <b:Guid>{1A39248C-A121-4ECB-8763-D4A93A957D1E}</b:Guid>
    <b:Title>Tecnología de la información - Directrices de accesibilidad para el contenido web del W3C (WCAG) 2.0</b:Title>
    <b:Year>2014</b:Year>
    <b:Author>
      <b:Author>
        <b:NameList>
          <b:Person>
            <b:Last>Instituto Ecuatoriano de Normalización</b:Last>
          </b:Person>
        </b:NameList>
      </b:Author>
    </b:Author>
    <b:URL>https://drive.google.com/file/d/0Bxl4LLo2QyyJMmZDNGwzWEdHMGc/view</b:URL>
    <b:RefOrder>3</b:RefOrder>
  </b:Source>
  <b:Source>
    <b:Tag>Ama</b:Tag>
    <b:SourceType>InternetSite</b:SourceType>
    <b:Guid>{D340ECE5-C6B3-4A54-BBAF-C6485401AD9D}</b:Guid>
    <b:Author>
      <b:Author>
        <b:NameList>
          <b:Person>
            <b:Last>Instituto Ecuatoriano de Normalización</b:Last>
          </b:Person>
        </b:NameList>
      </b:Author>
    </b:Author>
    <b:Title>Reglamento técnico ecuatoriano RTE INEN 288 “accesibilidad para el contenido web”</b:Title>
    <b:URL>https://drive.google.com/file/d/0Bxl4LLo2QyyJdURfOHViRGpCNFU/view</b:URL>
    <b:Year>2016</b:Year>
    <b:RefOrder>4</b:RefOrder>
  </b:Source>
  <b:Source>
    <b:Tag>CON17</b:Tag>
    <b:SourceType>InternetSite</b:SourceType>
    <b:Guid>{C1CB7EA8-27EB-4E62-A806-DA6A7E4DF5B1}</b:Guid>
    <b:Title>Estadísticas de Discapacidad</b:Title>
    <b:Year>2019</b:Year>
    <b:URL>https://www.consejodiscapacidades.gob.ec/estadisticas-de-discapacidad/</b:URL>
    <b:Author>
      <b:Author>
        <b:Corporate>Consejo Nacional para la Igualdad de Discapacidades</b:Corporate>
      </b:Author>
    </b:Author>
    <b:RefOrder>7</b:RefOrder>
  </b:Source>
  <b:Source>
    <b:Tag>CON151</b:Tag>
    <b:SourceType>InternetSite</b:SourceType>
    <b:Guid>{454DEA2A-6A08-49F2-9BC3-88575E3DE609}</b:Guid>
    <b:Title>Estadística personas con discapacidad</b:Title>
    <b:Year>2015</b:Year>
    <b:URL>http://www.consejodiscapacidades.gob.ec/wp-content/uploads/downloads/2015/09/estadistica_conadis.pdf</b:URL>
    <b:Author>
      <b:Author>
        <b:Corporate>Consejo Nacional para la Igualdad de Discapacidades</b:Corporate>
      </b:Author>
    </b:Author>
    <b:RefOrder>8</b:RefOrder>
  </b:Source>
  <b:Source>
    <b:Tag>Con101</b:Tag>
    <b:SourceType>InternetSite</b:SourceType>
    <b:Guid>{02AE67FC-8BA6-439A-A269-40C76C0A2484}</b:Guid>
    <b:Title>Accesibilidad Web</b:Title>
    <b:Year>2010a</b:Year>
    <b:URL>http://webaccesible.cea.es/?q=nivelesWCAG20</b:URL>
    <b:Author>
      <b:Author>
        <b:Corporate>Confederación de Empresarios de Andalucía</b:Corporate>
      </b:Author>
    </b:Author>
    <b:RefOrder>11</b:RefOrder>
  </b:Source>
  <b:Source>
    <b:Tag>Sta12</b:Tag>
    <b:SourceType>InternetSite</b:SourceType>
    <b:Guid>{27F5B8E8-20FB-4BBE-8FDA-73843D41F7D5}</b:Guid>
    <b:Title>WCAG 2.0 Map</b:Title>
    <b:Year>2012</b:Year>
    <b:URL>https://www.digitalpulse.pwc.com.au/wp-content/uploads/2014/08/WCAG20Map.pdf</b:URL>
    <b:Author>
      <b:Author>
        <b:NameList>
          <b:Person>
            <b:Last>Stamford Interactive</b:Last>
          </b:Person>
        </b:NameList>
      </b:Author>
    </b:Author>
    <b:RefOrder>12</b:RefOrder>
  </b:Source>
  <b:Source>
    <b:SourceType>JournalArticle</b:SourceType>
    <b:Tag>MUNDIAL2011</b:Tag>
    <b:Title>Informe mundIal la dIscapacIdad</b:Title>
    <b:Year>2011</b:Year>
    <b:Author>
      <b:Author>
        <b:NameList>
          <b:Person>
            <b:Last>Banco Mundial</b:Last>
          </b:Person>
        </b:NameList>
      </b:Author>
    </b:Author>
    <b:Pages>219</b:Pages>
    <b:Volume>218</b:Volume>
    <b:JournalName>Educación</b:JournalName>
    <b:Issue>219</b:Issue>
    <b:URL>http://www.who.int/disabilities/world_report/2011/summary_es.pdf</b:URL>
    <b:Guid>{E7C6724C-C216-4C76-9312-12E1ED634E03}</b:Guid>
    <b:RefOrder>23</b:RefOrder>
  </b:Source>
  <b:Source>
    <b:Tag>Con10</b:Tag>
    <b:SourceType>InternetSite</b:SourceType>
    <b:Guid>{CC3C98AE-1264-4053-91D6-6A0876D4E436}</b:Guid>
    <b:Title>Herramientas de evaluación automáticas</b:Title>
    <b:Year>2010</b:Year>
    <b:URL>http://webaccesible.cea.es/?q=automaticas</b:URL>
    <b:Author>
      <b:Author>
        <b:NameList>
          <b:Person>
            <b:Last>Confederación de Empresarios de Andalucía</b:Last>
          </b:Person>
        </b:NameList>
      </b:Author>
    </b:Author>
    <b:RefOrder>13</b:RefOrder>
  </b:Source>
  <b:Source>
    <b:Tag>W3C08</b:Tag>
    <b:SourceType>InternetSite</b:SourceType>
    <b:Guid>{1C4947ED-1789-47BB-A4E5-ED4E358E9231}</b:Guid>
    <b:Title>Web Content Accessibility Guidelines (WCAG) 2.0</b:Title>
    <b:Year>2008</b:Year>
    <b:URL>http://www.w3.org/TR/WCAG20/</b:URL>
    <b:Author>
      <b:Author>
        <b:Corporate>World Wide Web Consortium</b:Corporate>
      </b:Author>
    </b:Author>
    <b:RefOrder>9</b:RefOrder>
  </b:Source>
  <b:Source>
    <b:Tag>W3C18</b:Tag>
    <b:SourceType>InternetSite</b:SourceType>
    <b:Guid>{CB3CBD65-1584-4FEA-8395-E2612D30A6EF}</b:Guid>
    <b:Title>Web Content Accessibility Guidelines (WCAG) 2.1</b:Title>
    <b:Year>2018</b:Year>
    <b:URL>https://www.w3.org/TR/WCAG21/</b:URL>
    <b:Author>
      <b:Author>
        <b:Corporate>World Wide Web Consortium</b:Corporate>
      </b:Author>
    </b:Author>
    <b:RefOrder>5</b:RefOrder>
  </b:Source>
  <b:Source>
    <b:Tag>Aco18</b:Tag>
    <b:SourceType>ConferenceProceedings</b:SourceType>
    <b:Guid>{7C61D05A-F1F2-4245-8D3D-AB34C030A856}</b:Guid>
    <b:Title>Challenges to Assess Accessibility in Higher Education Websites: A Comparative Study of Latin America Universities</b:Title>
    <b:Year>2018</b:Year>
    <b:Pages>36500-36508</b:Pages>
    <b:Author>
      <b:Author>
        <b:NameList>
          <b:Person>
            <b:Last>Acosta-Vargas</b:Last>
            <b:First>P.</b:First>
          </b:Person>
          <b:Person>
            <b:Last>Acosta</b:Last>
            <b:First>T.</b:First>
          </b:Person>
          <b:Person>
            <b:Last>Luján-Mora</b:Last>
            <b:First>S.</b:First>
          </b:Person>
        </b:NameList>
      </b:Author>
    </b:Author>
    <b:Volume>6</b:Volume>
    <b:DOI>10.1109/ACCESS.2018.2848978</b:DOI>
    <b:ConferenceName>IEEE Access</b:ConferenceName>
    <b:RefOrder>22</b:RefOrder>
  </b:Source>
  <b:Source>
    <b:SourceType>ConferenceProceedings</b:SourceType>
    <b:Tag>Arasid_2018</b:Tag>
    <b:Title>An Analysis of Website Accessibility in Higher Education in Indonesia Based on WCAG 2.0 Guidelines</b:Title>
    <b:Year>2018</b:Year>
    <b:Author>
      <b:Author>
        <b:NameList>
          <b:Person>
            <b:Last>Arasid</b:Last>
            <b:First>W.</b:First>
          </b:Person>
          <b:Person>
            <b:Last>Abdullah</b:Last>
            <b:Middle>G.</b:Middle>
            <b:First>A.</b:First>
          </b:Person>
          <b:Person>
            <b:Last>Wahyudin</b:Last>
            <b:First>D.</b:First>
          </b:Person>
          <b:Person>
            <b:Last>Abdullah</b:Last>
            <b:Middle>U.</b:Middle>
            <b:First>C.</b:First>
          </b:Person>
          <b:Person>
            <b:Last>Widiaty</b:Last>
            <b:First>I.</b:First>
          </b:Person>
          <b:Person>
            <b:Last>Zakaria</b:Last>
            <b:First>D.</b:First>
          </b:Person>
          <b:Person>
            <b:Last>Amelia</b:Last>
            <b:First>N.</b:First>
          </b:Person>
          <b:Person>
            <b:Last>Juhana</b:Last>
            <b:First>A.</b:First>
          </b:Person>
        </b:NameList>
      </b:Author>
    </b:Author>
    <b:Pages>1-8</b:Pages>
    <b:Volume>306</b:Volume>
    <b:Publisher>{IOP} Publishing</b:Publisher>
    <b:Guid>{2AB95057-705A-4868-B79F-8B92DA801666}</b:Guid>
    <b:DOI>10.1088/1757-899x/306/1/012130</b:DOI>
    <b:ConferenceName>{IOP} Conference Series: Materials Science and Engineering</b:ConferenceName>
    <b:RefOrder>21</b:RefOrder>
  </b:Source>
  <b:Source>
    <b:Tag>Aco17</b:Tag>
    <b:SourceType>ConferenceProceedings</b:SourceType>
    <b:Guid>{6BF738F9-DA0C-4143-8AB2-EDC884B45473}</b:Guid>
    <b:Title>Web accessibility polices of higher education institutions</b:Title>
    <b:Year>2017</b:Year>
    <b:Pages>1-7</b:Pages>
    <b:Author>
      <b:Author>
        <b:NameList>
          <b:Person>
            <b:Last>Acosta-Vargas</b:Last>
            <b:First>P.</b:First>
          </b:Person>
          <b:Person>
            <b:Last>Luján-Mora</b:Last>
            <b:First>Sergio</b:First>
          </b:Person>
          <b:Person>
            <b:Last>Salvador-Ullauri</b:Last>
            <b:First>L.</b:First>
          </b:Person>
        </b:NameList>
      </b:Author>
    </b:Author>
    <b:City>Ohrid</b:City>
    <b:DOI>10.1109/ITHET.2017.8067808</b:DOI>
    <b:ConferenceName>16th International Conference on Information Technology Based Higher Education and Training (ITHET)</b:ConferenceName>
    <b:RefOrder>19</b:RefOrder>
  </b:Source>
  <b:Source>
    <b:SourceType>ConferenceProceedings</b:SourceType>
    <b:Tag>milton2016</b:Tag>
    <b:Title>Accesibilidad web en las instituciones de salud de la ciudad de Cuenca. Análisis preliminar</b:Title>
    <b:Year>2016</b:Year>
    <b:Author>
      <b:Author>
        <b:NameList>
          <b:Person>
            <b:Last>Campoverde-Molina</b:Last>
            <b:First>Milton</b:First>
          </b:Person>
          <b:Person>
            <b:Last>Vizñay-Durán</b:Last>
            <b:First>Jenny</b:First>
          </b:Person>
          <b:Person>
            <b:Last>Reyes-Espinosa</b:Last>
            <b:First>Diego</b:First>
          </b:Person>
        </b:NameList>
      </b:Author>
    </b:Author>
    <b:Pages>125-132</b:Pages>
    <b:Guid>{A321B265-58BA-46EF-8D5B-5E6B164169C3}</b:Guid>
    <b:Volume>1</b:Volume>
    <b:ConferenceName>IV Conferencia Internacional sobre Aplicación de Tecnologías de la Información y Comunicaciones para mejorar la Accesibilidad (ATICAcces 2016)</b:ConferenceName>
    <b:City>Cuenca</b:City>
    <b:RefOrder>14</b:RefOrder>
  </b:Source>
  <b:Source>
    <b:Tag>Ort19</b:Tag>
    <b:SourceType>JournalArticle</b:SourceType>
    <b:Guid>{C410F1D8-0D5D-444C-AD63-6756400C34FB}</b:Guid>
    <b:Title>Accesibilidad en sitios web del Ministerio de Educación de Chile</b:Title>
    <b:JournalName>Tendencias Pedagógicas</b:JournalName>
    <b:Year>2019</b:Year>
    <b:Pages>págs. 99-116</b:Pages>
    <b:Author>
      <b:Author>
        <b:NameList>
          <b:Person>
            <b:Last>Ortiz Ruiz</b:Last>
            <b:Middle>Tatiana</b:Middle>
            <b:First>Yorka</b:First>
          </b:Person>
        </b:NameList>
      </b:Author>
    </b:Author>
    <b:Volume>33</b:Volume>
    <b:Issue>2019</b:Issue>
    <b:RefOrder>23</b:RefOrder>
  </b:Source>
  <b:Source>
    <b:Tag>Sam16</b:Tag>
    <b:SourceType>JournalArticle</b:SourceType>
    <b:Guid>{EF692703-3B2D-49E7-8928-9E2653CCDCDE}</b:Guid>
    <b:Title>Evaluación de la accesibilidad web de los portales del Estado en Perú</b:Title>
    <b:Year>2016</b:Year>
    <b:JournalName>Revista Española de Documentación Científica</b:JournalName>
    <b:Pages>págs. 1-15</b:Pages>
    <b:Author>
      <b:Author>
        <b:NameList>
          <b:Person>
            <b:Last>Sam-Anlas</b:Last>
            <b:Middle>Antonio</b:Middle>
            <b:First>Carlos</b:First>
          </b:Person>
          <b:Person>
            <b:Last>Stable-Rodríguez</b:Last>
            <b:First>Yudayly</b:First>
          </b:Person>
        </b:NameList>
      </b:Author>
    </b:Author>
    <b:Volume>39</b:Volume>
    <b:Issue>1</b:Issue>
    <b:RefOrder>18</b:RefOrder>
  </b:Source>
  <b:Source>
    <b:Tag>Min</b:Tag>
    <b:SourceType>InternetSite</b:SourceType>
    <b:Guid>{42F9B054-6ADD-43F0-9EAE-CDD1FA3CA7B5}</b:Guid>
    <b:Title>AMIE (Estadísticas educativas a partir de 2009-2010)</b:Title>
    <b:Author>
      <b:Author>
        <b:NameList>
          <b:Person>
            <b:Last>Ministerio de Educación del Ecuador</b:Last>
          </b:Person>
        </b:NameList>
      </b:Author>
    </b:Author>
    <b:URL>https://educacion.gob.ec/amie/</b:URL>
    <b:Year>2018</b:Year>
    <b:RefOrder>25</b:RefOrder>
  </b:Source>
  <b:Source>
    <b:SourceType>JournalArticle</b:SourceType>
    <b:Tag>MiltonUpse2016</b:Tag>
    <b:Title>La accesibilidad web. Un reto en el entorno educativo ecuatoriano.</b:Title>
    <b:Year>2016</b:Year>
    <b:Author>
      <b:Author>
        <b:NameList>
          <b:Person>
            <b:Last>Campoverde-Molina</b:Last>
            <b:First>Milton</b:First>
          </b:Person>
        </b:NameList>
      </b:Author>
    </b:Author>
    <b:Pages>págs. 90-98</b:Pages>
    <b:Volume>III</b:Volume>
    <b:JournalName>Revista Científica y Tecnológica UPSE</b:JournalName>
    <b:Issue>3</b:Issue>
    <b:Guid>{0899B50D-816C-4F3E-87BE-8730E7A49BB9}</b:Guid>
    <b:City>Santa Elena</b:City>
    <b:RefOrder>15</b:RefOrder>
  </b:Source>
  <b:Source>
    <b:Tag>Aco16</b:Tag>
    <b:SourceType>ConferenceProceedings</b:SourceType>
    <b:Guid>{3482FA0C-669F-41F6-A348-0C4DA857284D}</b:Guid>
    <b:Title>Evaluation of the web accessibility of higher-education websites</b:Title>
    <b:Year>2016</b:Year>
    <b:Author>
      <b:Author>
        <b:NameList>
          <b:Person>
            <b:Last>Acosta-Vargas</b:Last>
            <b:First>P.</b:First>
          </b:Person>
          <b:Person>
            <b:Last>Luján-Mora</b:Last>
            <b:First>Sergio</b:First>
          </b:Person>
          <b:Person>
            <b:Last>Salvador-Ullauri</b:Last>
            <b:First>L.</b:First>
          </b:Person>
        </b:NameList>
      </b:Author>
    </b:Author>
    <b:JournalName>15th International Conference on Information Technology Based Higher Education and Training (ITHET)</b:JournalName>
    <b:Pages>1-6</b:Pages>
    <b:City>Estambul</b:City>
    <b:DOI>10.1109/ITHET.2016.7760703</b:DOI>
    <b:ConferenceName>15th International Conference on Information Technology Based Higher Education and Training (ITHET)</b:ConferenceName>
    <b:RefOrder>16</b:RefOrder>
  </b:Source>
  <b:Source>
    <b:Tag>WAI06</b:Tag>
    <b:SourceType>InternetSite</b:SourceType>
    <b:Guid>{947C1C98-7BAC-438A-9BE5-7DF848F60007}</b:Guid>
    <b:Author>
      <b:Author>
        <b:NameList>
          <b:Person>
            <b:Last>World Wide Web Consortium</b:Last>
          </b:Person>
        </b:NameList>
      </b:Author>
    </b:Author>
    <b:Title>Web Accessibility Evaluation Tools List</b:Title>
    <b:Year>2006</b:Year>
    <b:URL>https://www.w3.org/WAI/ER/tools/</b:URL>
    <b:RefOrder>11</b:RefOrder>
  </b:Source>
  <b:Source>
    <b:Tag>Web15</b:Tag>
    <b:SourceType>InternetSite</b:SourceType>
    <b:Guid>{A64DE7E1-E82D-45F3-8E64-16921CC496FA}</b:Guid>
    <b:Title>Introducción a la Accesibilidad Web</b:Title>
    <b:Year>2015</b:Year>
    <b:URL>https://www.w3c.es/Traducciones/es/WAI/intro/accessibility</b:URL>
    <b:Author>
      <b:Author>
        <b:NameList>
          <b:Person>
            <b:Last>World Wide Web Consortium</b:Last>
          </b:Person>
        </b:NameList>
      </b:Author>
    </b:Author>
    <b:RefOrder>1</b:RefOrder>
  </b:Source>
  <b:Source>
    <b:Year>2017</b:Year>
    <b:Volume>8</b:Volume>
    <b:BIBTEX_Entry>article</b:BIBTEX_Entry>
    <b:SourceType>JournalArticle</b:SourceType>
    <b:Title>Análisis de la accesibilidad de los sitios web de las universidades ecuatorianas de excelencia</b:Title>
    <b:Tag>acosta2017analisis</b:Tag>
    <b:Publisher>Universidad Tecnológica Equinoccial</b:Publisher>
    <b:URL>http://scielo.senescyt.gob.ec/scielo.php?script=sci_arttext&amp;pid=S1390-65422017000100046&amp;lng=es&amp;nrm=iso</b:URL>
    <b:DOI>10.29019/enfoqueute.v8n1.133</b:DOI>
    <b:Author>
      <b:Author>
        <b:NameList>
          <b:Person>
            <b:Last>Acosta</b:Last>
            <b:First>Tania</b:First>
          </b:Person>
          <b:Person>
            <b:Last>Luján-Mora</b:Last>
            <b:First>Sergio</b:First>
          </b:Person>
        </b:NameList>
      </b:Author>
    </b:Author>
    <b:Pages>págs. 46-61</b:Pages>
    <b:JournalName>Enfoque UTE</b:JournalName>
    <b:Guid>{377EFE4B-FD29-4EED-BE44-B7FCA4F83C44}</b:Guid>
    <b:Issue>1</b:Issue>
    <b:RefOrder>20</b:RefOrder>
  </b:Source>
  <b:Source>
    <b:Tag>ISO12</b:Tag>
    <b:SourceType>InternetSite</b:SourceType>
    <b:Guid>{59DF967C-BF8B-4D4B-9933-C40A1B8AEB0A}</b:Guid>
    <b:Title>Information technology -- W3C Web Content Accessibility Guidelines (WCAG) 2.0</b:Title>
    <b:Year>2012</b:Year>
    <b:URL>https://www.iso.org/standard/58625.html</b:URL>
    <b:Author>
      <b:Author>
        <b:NameList>
          <b:Person>
            <b:Last>International Organization for Standardization</b:Last>
          </b:Person>
        </b:NameList>
      </b:Author>
    </b:Author>
    <b:RefOrder>2</b:RefOrder>
  </b:Source>
  <b:Source>
    <b:Tag>Luj1</b:Tag>
    <b:SourceType>InternetSite</b:SourceType>
    <b:Guid>{8E88D16F-65B7-4A4B-8CDC-326DC908FCBB}</b:Guid>
    <b:Title>Herramientas de revisión automática de la accesibilidad web</b:Title>
    <b:URL>http://accesibilidadweb.dlsi.ua.es/?menu=hr-revision-automaticas</b:URL>
    <b:Author>
      <b:Author>
        <b:NameList>
          <b:Person>
            <b:Last>Luján-Mora</b:Last>
            <b:First>Sergio</b:First>
          </b:Person>
        </b:NameList>
      </b:Author>
    </b:Author>
    <b:Year>2018a</b:Year>
    <b:RefOrder>12</b:RefOrder>
  </b:Source>
  <b:Source>
    <b:Tag>Luj</b:Tag>
    <b:SourceType>InternetSite</b:SourceType>
    <b:Guid>{6548DD32-9940-40FE-895F-86C1E344971C}</b:Guid>
    <b:Title>Principios y directrices de WCAG 2.0</b:Title>
    <b:URL>http://accesibilidadweb.dlsi.ua.es/?menu=principios-2.0</b:URL>
    <b:Author>
      <b:Author>
        <b:NameList>
          <b:Person>
            <b:Last>Luján-Mora</b:Last>
            <b:First>Sergio</b:First>
          </b:Person>
        </b:NameList>
      </b:Author>
    </b:Author>
    <b:Year>2018b</b:Year>
    <b:RefOrder>10</b:RefOrder>
  </b:Source>
  <b:Source>
    <b:Tag>Nac15</b:Tag>
    <b:SourceType>DocumentFromInternetSite</b:SourceType>
    <b:Guid>{5F573E04-275B-4F1E-9B6F-8CD282327112}</b:Guid>
    <b:Title>Convención sobre los derechos de las personas con discapacidad</b:Title>
    <b:URL>http://www.un.org/disabilities/documents/convention/convoptprot-s.pdf</b:URL>
    <b:Author>
      <b:Author>
        <b:NameList>
          <b:Person>
            <b:Last>Naciones Unidas</b:Last>
          </b:Person>
        </b:NameList>
      </b:Author>
    </b:Author>
    <b:RefOrder>6</b:RefOrder>
  </b:Source>
  <b:Source>
    <b:Tag>Rah16</b:Tag>
    <b:SourceType>ConferenceProceedings</b:SourceType>
    <b:Guid>{E9946A6C-CFCD-4117-9BB6-6E5CB7C97232}</b:Guid>
    <b:Title>Accessibility evaluation using Web Content Accessibility Guidelines (WCAG) 2.0</b:Title>
    <b:JournalName>4th International Conference on User Science and Engineering (i-USEr)</b:JournalName>
    <b:Year>2016</b:Year>
    <b:Pages>1-4</b:Pages>
    <b:Author>
      <b:Author>
        <b:NameList>
          <b:Person>
            <b:Last>Rahim Wan Mohd Isa</b:Last>
            <b:Middle>Abdul</b:Middle>
            <b:First>Wan</b:First>
          </b:Person>
          <b:Person>
            <b:Last>Hakim Suhaimi</b:Last>
            <b:Middle>Iqbal</b:Middle>
            <b:First>Ahmad</b:First>
          </b:Person>
          <b:Person>
            <b:Last>Ariffrn</b:Last>
            <b:First>Nadhirah</b:First>
          </b:Person>
          <b:Person>
            <b:Last>Fatimah Ishak</b:Last>
            <b:First>Nurul</b:First>
          </b:Person>
          <b:Person>
            <b:Last>Mohd Ralim</b:Last>
            <b:First>Nadilah</b:First>
          </b:Person>
        </b:NameList>
      </b:Author>
    </b:Author>
    <b:City>Melaka</b:City>
    <b:DOI>10.1109/IUSER.2016.7857924</b:DOI>
    <b:RefOrder>17</b:RefOrder>
  </b:Source>
  <b:Source>
    <b:Tag>Rod19</b:Tag>
    <b:SourceType>JournalArticle</b:SourceType>
    <b:Guid>{6911BFF5-A835-4402-BB73-A2EF351DFAAB}</b:Guid>
    <b:Title>Análisis comparativo de usabilidad en los sitios web de las universidades públicas de la ciudad de Riobamba - Ecuador</b:Title>
    <b:Pages>págs. 1-14</b:Pages>
    <b:Year>2019</b:Year>
    <b:JournalName>Atlante: Cuadernos de Educación y Desarrollo</b:JournalName>
    <b:Author>
      <b:Author>
        <b:NameList>
          <b:Person>
            <b:Last>Rodríguez V.</b:Last>
            <b:First>Luis</b:First>
          </b:Person>
          <b:Person>
            <b:Last>Rosas Chávez</b:Last>
            <b:First>Pablo</b:First>
          </b:Person>
          <b:Person>
            <b:Last>Suárez Naranjo</b:Last>
            <b:First>Carlos</b:First>
          </b:Person>
        </b:NameList>
      </b:Author>
    </b:Author>
    <b:Volume>febrero</b:Volume>
    <b:RefOrder>24</b:RefOrder>
  </b:Source>
  <b:Source>
    <b:Tag>Net19</b:Tag>
    <b:SourceType>InternetSite</b:SourceType>
    <b:Guid>{CAA54EA9-F2DF-4542-BA30-32417E7A38F1}</b:Guid>
    <b:Title>Tipos de dominios</b:Title>
    <b:Year>2019</b:Year>
    <b:URL>https://www.nic.ec/content.php?action=mypages&amp;page=TipoDominios.html</b:URL>
    <b:Author>
      <b:Author>
        <b:NameList>
          <b:Person>
            <b:Last>Network Information Center</b:Last>
          </b:Person>
        </b:NameList>
      </b:Author>
    </b:Author>
    <b:RefOrder>21</b:RefOrder>
  </b:Source>
  <b:Source>
    <b:Tag>Sen17</b:Tag>
    <b:SourceType>Report</b:SourceType>
    <b:Guid>{DDBC27B1-0096-4E03-BD1D-501310C4E516}</b:Guid>
    <b:Author>
      <b:Author>
        <b:NameList>
          <b:Person>
            <b:Last>Senplades</b:Last>
          </b:Person>
        </b:NameList>
      </b:Author>
    </b:Author>
    <b:Title>Toda una vida. Plan Macional del Buen Vivir 2017-2021</b:Title>
    <b:Year>2017</b:Year>
    <b:Publisher>Secretaria Nacional de Planificación</b:Publisher>
    <b:City>Quito</b:City>
    <b:RefOrder>16</b:RefOrder>
  </b:Source>
  <b:Source>
    <b:Tag>Col14</b:Tag>
    <b:SourceType>Book</b:SourceType>
    <b:Guid>{A7F27DCC-BAF9-45CD-8DCE-D38A89BAC680}</b:Guid>
    <b:Title>Procesos psicológicos básicos</b:Title>
    <b:Year>2014</b:Year>
    <b:Author>
      <b:Author>
        <b:NameList>
          <b:Person>
            <b:Last>Colmenero</b:Last>
            <b:First>J.</b:First>
          </b:Person>
        </b:NameList>
      </b:Author>
    </b:Author>
    <b:City>Madrid</b:City>
    <b:Publisher>MC Graw Hill</b:Publisher>
    <b:RefOrder>3</b:RefOrder>
  </b:Source>
  <b:Source>
    <b:Tag>Var04</b:Tag>
    <b:SourceType>JournalArticle</b:SourceType>
    <b:Guid>{5A00F5CE-5250-4D01-A8A1-0D1344904626}</b:Guid>
    <b:Author>
      <b:Author>
        <b:NameList>
          <b:Person>
            <b:Last>Vargas</b:Last>
            <b:First>L.</b:First>
          </b:Person>
        </b:NameList>
      </b:Author>
    </b:Author>
    <b:Title>Sobre el concepto de la percepción</b:Title>
    <b:Year>2004</b:Year>
    <b:JournalName>Alteridades</b:JournalName>
    <b:Pages>47-53</b:Pages>
    <b:Volume>4</b:Volume>
    <b:Issue>8</b:Issue>
    <b:RefOrder>4</b:RefOrder>
  </b:Source>
  <b:Source>
    <b:Tag>Ara18</b:Tag>
    <b:SourceType>JournalArticle</b:SourceType>
    <b:Guid>{4438D4C8-A410-4873-A9B8-E65A14FEC2EE}</b:Guid>
    <b:Author>
      <b:Author>
        <b:NameList>
          <b:Person>
            <b:Last>Arancibia</b:Last>
            <b:First>M.</b:First>
          </b:Person>
          <b:Person>
            <b:Last>Cosimo</b:Last>
            <b:First>D.</b:First>
          </b:Person>
          <b:Person>
            <b:Last>R</b:Last>
            <b:First>Casanova</b:First>
          </b:Person>
        </b:NameList>
      </b:Author>
    </b:Author>
    <b:Title>Percepción de los profesores sobre integración de TIC en las prácticas de enseñanza en relación a los marcos normativos para la profesión docente</b:Title>
    <b:JournalName>Ensaio: aval. pol. públ. Educ</b:JournalName>
    <b:Year>2018</b:Year>
    <b:Pages>163-184,</b:Pages>
    <b:Volume>26</b:Volume>
    <b:Issue>987</b:Issue>
    <b:RefOrder>5</b:RefOrder>
  </b:Source>
  <b:Source>
    <b:Tag>Bad16</b:Tag>
    <b:SourceType>JournalArticle</b:SourceType>
    <b:Guid>{FEDFE6A8-89BF-4B67-86C0-968CD0034647}</b:Guid>
    <b:Author>
      <b:Author>
        <b:NameList>
          <b:Person>
            <b:Last>Badia</b:Last>
            <b:First>A.</b:First>
          </b:Person>
          <b:Person>
            <b:Last>Chumpitaz</b:Last>
            <b:First>L.</b:First>
          </b:Person>
          <b:Person>
            <b:Last>Vargas</b:Last>
            <b:First>J.</b:First>
          </b:Person>
          <b:Person>
            <b:Last>Súarez</b:Last>
            <b:First>G.</b:First>
          </b:Person>
        </b:NameList>
      </b:Author>
    </b:Author>
    <b:Title>La percepción de la utilidad de la tecnología conforma su uso para enseñar y aprender.</b:Title>
    <b:JournalName>Revista Iberoamericana de educación</b:JournalName>
    <b:Year>2016</b:Year>
    <b:Volume>18</b:Volume>
    <b:Issue>3</b:Issue>
    <b:RefOrder>17</b:RefOrder>
  </b:Source>
  <b:Source>
    <b:Tag>Jar05</b:Tag>
    <b:SourceType>JournalArticle</b:SourceType>
    <b:Guid>{9336A9C4-0714-4C55-B25E-A7FD77D84A5C}</b:Guid>
    <b:Author>
      <b:Author>
        <b:NameList>
          <b:Person>
            <b:Last>Jaramillo</b:Last>
            <b:First>P.</b:First>
          </b:Person>
        </b:NameList>
      </b:Author>
    </b:Author>
    <b:Title>Uso de tecnologías de información en el aula</b:Title>
    <b:JournalName>Revista de Estudios Sociales</b:JournalName>
    <b:Year>2005</b:Year>
    <b:Pages>27-44</b:Pages>
    <b:Issue>20</b:Issue>
    <b:RefOrder>6</b:RefOrder>
  </b:Source>
  <b:Source>
    <b:Tag>Ber16</b:Tag>
    <b:SourceType>Book</b:SourceType>
    <b:Guid>{4B5E8EF1-3EDE-47BB-9ABA-0D182EF03BF5}</b:Guid>
    <b:Title>Acerca de la utilidad del aula invertida o flipped classroom</b:Title>
    <b:Year>2016</b:Year>
    <b:Author>
      <b:Author>
        <b:NameList>
          <b:Person>
            <b:Last>Berenguer</b:Last>
            <b:First>Cristina</b:First>
          </b:Person>
        </b:NameList>
      </b:Author>
    </b:Author>
    <b:City>Alicante</b:City>
    <b:Publisher>Universitat  d’ ALacant</b:Publisher>
    <b:RefOrder>7</b:RefOrder>
  </b:Source>
  <b:Source>
    <b:Tag>Aus02</b:Tag>
    <b:SourceType>Book</b:SourceType>
    <b:Guid>{46567055-F2C2-4001-A889-19B62CD4071F}</b:Guid>
    <b:Author>
      <b:Author>
        <b:NameList>
          <b:Person>
            <b:Last>Ausubel</b:Last>
            <b:First>David</b:First>
          </b:Person>
        </b:NameList>
      </b:Author>
    </b:Author>
    <b:Title>Adquisición y retención del conocimiento: una perspectiva cognitiva</b:Title>
    <b:Year>2002</b:Year>
    <b:City>Barcelona</b:City>
    <b:Publisher>Paidós</b:Publisher>
    <b:RefOrder>8</b:RefOrder>
  </b:Source>
  <b:Source>
    <b:Tag>Pap12</b:Tag>
    <b:SourceType>Book</b:SourceType>
    <b:Guid>{410AEA80-A72F-4D0E-A970-026EAFFE1722}</b:Guid>
    <b:Title>Desarrollo Humano</b:Title>
    <b:Year>2012</b:Year>
    <b:Author>
      <b:Author>
        <b:NameList>
          <b:Person>
            <b:Last>Papalia</b:Last>
            <b:First>Feldman</b:First>
          </b:Person>
        </b:NameList>
      </b:Author>
    </b:Author>
    <b:City>México</b:City>
    <b:Publisher>Mc Graw Hill</b:Publisher>
    <b:RefOrder>9</b:RefOrder>
  </b:Source>
  <b:Source>
    <b:Tag>Osp06</b:Tag>
    <b:SourceType>JournalArticle</b:SourceType>
    <b:Guid>{12DFED8F-1D63-4764-BE7F-BC1ABEAFC584}</b:Guid>
    <b:Author>
      <b:Author>
        <b:NameList>
          <b:Person>
            <b:Last>Ospina</b:Last>
            <b:First>Jackeline</b:First>
          </b:Person>
        </b:NameList>
      </b:Author>
    </b:Author>
    <b:Title>La motivación, motor del aprendizaje</b:Title>
    <b:JournalName>Ciencias Salud</b:JournalName>
    <b:Year>2006</b:Year>
    <b:Pages>158-160</b:Pages>
    <b:RefOrder>10</b:RefOrder>
  </b:Source>
  <b:Source>
    <b:Tag>Oss05</b:Tag>
    <b:SourceType>JournalArticle</b:SourceType>
    <b:Guid>{1005022F-7989-4957-BC13-7DBA6D0E860D}</b:Guid>
    <b:Title>Educar es enseñar a indagar. La investigación como procesos de formación.</b:Title>
    <b:Year>2005</b:Year>
    <b:Author>
      <b:Author>
        <b:NameList>
          <b:Person>
            <b:Last>Ossa</b:Last>
            <b:First>Jorge</b:First>
          </b:Person>
        </b:NameList>
      </b:Author>
    </b:Author>
    <b:JournalName>Educación</b:JournalName>
    <b:Pages>525-533</b:Pages>
    <b:Volume>XXVIII</b:Volume>
    <b:Issue>3</b:Issue>
    <b:RefOrder>11</b:RefOrder>
  </b:Source>
  <b:Source>
    <b:Tag>Lei08</b:Tag>
    <b:SourceType>JournalArticle</b:SourceType>
    <b:Guid>{7AF119DC-AE64-4723-83CB-187F37518E68}</b:Guid>
    <b:Author>
      <b:Author>
        <b:NameList>
          <b:Person>
            <b:Last>Leiva</b:Last>
            <b:First>Juan</b:First>
          </b:Person>
        </b:NameList>
      </b:Author>
    </b:Author>
    <b:Title>Interculturalidad, gestión de la convivencia y diversidad cultural en la escuela: un estudio de las actitudes del profesorado.</b:Title>
    <b:JournalName>Revista Iberoamericana de Educación</b:JournalName>
    <b:Year>2008</b:Year>
    <b:Pages>1-14</b:Pages>
    <b:Volume>46</b:Volume>
    <b:Issue>2</b:Issue>
    <b:RefOrder>12</b:RefOrder>
  </b:Source>
  <b:Source>
    <b:Tag>MIN19</b:Tag>
    <b:SourceType>InternetSite</b:SourceType>
    <b:Guid>{BBAD32FD-F4F2-4375-A998-FFC2ACB9DD3C}</b:Guid>
    <b:Author>
      <b:Author>
        <b:NameList>
          <b:Person>
            <b:Last>MINEDUC</b:Last>
          </b:Person>
        </b:NameList>
      </b:Author>
    </b:Author>
    <b:Title>Vuelven a las aulas el maestro, los valores y la alegría</b:Title>
    <b:InternetSiteTitle>Vuelven a las aulas el maestro, los valores y la alegría</b:InternetSiteTitle>
    <b:Year>2019</b:Year>
    <b:Month>Enero</b:Month>
    <b:Day>31</b:Day>
    <b:YearAccessed>2019</b:YearAccessed>
    <b:MonthAccessed>Febrero</b:MonthAccessed>
    <b:DayAccessed>6</b:DayAccessed>
    <b:URL>https://educacion.gob.ec/vuelven-a-las-aulas-el-maestro-los-valores-y-la-alegria/</b:URL>
    <b:RefOrder>13</b:RefOrder>
  </b:Source>
  <b:Source>
    <b:Tag>Min18</b:Tag>
    <b:SourceType>InternetSite</b:SourceType>
    <b:Guid>{843F68F6-36D4-45F5-82CC-7E257A1BAAC9}</b:Guid>
    <b:Author>
      <b:Author>
        <b:NameList>
          <b:Person>
            <b:Last>MINEDUC</b:Last>
          </b:Person>
        </b:NameList>
      </b:Author>
    </b:Author>
    <b:Title>Textos escolares y lectura en el sistema educativo</b:Title>
    <b:InternetSiteTitle>Textos escolares y lectura en el sistema educativo</b:InternetSiteTitle>
    <b:Year>2018</b:Year>
    <b:Month>Mayo</b:Month>
    <b:Day>16</b:Day>
    <b:YearAccessed>2019</b:YearAccessed>
    <b:MonthAccessed>Febrero</b:MonthAccessed>
    <b:DayAccessed>6</b:DayAccessed>
    <b:URL>https://educacion.gob.ec/textos-escolares-y-lectura-en-el-sistema-educativo/</b:URL>
    <b:RefOrder>14</b:RefOrder>
  </b:Source>
  <b:Source>
    <b:Tag>Min19</b:Tag>
    <b:SourceType>InternetSite</b:SourceType>
    <b:Guid>{AF5898E4-3AC4-4F74-BD29-81A2124CC49E}</b:Guid>
    <b:Title>Plan Nacional del Libro y la Lectura José de la Cuadra</b:Title>
    <b:Year>2019</b:Year>
    <b:InternetSiteTitle>Plan Nacional del Libro y la Lectura José de la Cuadra</b:InternetSiteTitle>
    <b:Month>Febrero</b:Month>
    <b:Day>6</b:Day>
    <b:YearAccessed>2019</b:YearAccessed>
    <b:MonthAccessed>Febrero</b:MonthAccessed>
    <b:DayAccessed>6</b:DayAccessed>
    <b:URL>http://oei.org.ar/new/wp-content/uploads/2018/03/PNPLL-Ecuador.pdf</b:URL>
    <b:Author>
      <b:Author>
        <b:NameList>
          <b:Person>
            <b:Last>Ministerio</b:Last>
            <b:First>Cultura</b:First>
            <b:Middle>y Patrimonio</b:Middle>
          </b:Person>
        </b:NameList>
      </b:Author>
    </b:Author>
    <b:RefOrder>15</b:RefOrder>
  </b:Source>
  <b:Source>
    <b:Tag>Cob11</b:Tag>
    <b:SourceType>Book</b:SourceType>
    <b:Guid>{627D7EE6-4D45-41D8-9EED-46073FE6F947}</b:Guid>
    <b:Author>
      <b:Author>
        <b:NameList>
          <b:Person>
            <b:Last>Cobo Romaní</b:Last>
            <b:First>Cristóbal</b:First>
          </b:Person>
          <b:Person>
            <b:Last>Moravec</b:Last>
            <b:First>John</b:First>
            <b:Middle>W.</b:Middle>
          </b:Person>
        </b:NameList>
      </b:Author>
    </b:Author>
    <b:Title>Aprendizaje invisible. Hacia una nueva ecología de la educación</b:Title>
    <b:Year>2011</b:Year>
    <b:City>Barcelona</b:City>
    <b:Publisher>Edicions de la Universitat de Barcelona</b:Publisher>
    <b:RefOrder>18</b:RefOrder>
  </b:Source>
  <b:Source>
    <b:Tag>Fun18</b:Tag>
    <b:SourceType>InternetSite</b:SourceType>
    <b:Guid>{9C73F463-E0A1-4D93-A6B6-78C1AC994637}</b:Guid>
    <b:Author>
      <b:Author>
        <b:NameList>
          <b:Person>
            <b:Last>Fundación</b:Last>
            <b:First>Telefónica</b:First>
          </b:Person>
        </b:NameList>
      </b:Author>
    </b:Author>
    <b:Title> Telefónica, Fundación</b:Title>
    <b:InternetSiteTitle>Profuturo</b:InternetSiteTitle>
    <b:Year>2018</b:Year>
    <b:Month>01</b:Month>
    <b:Day>10</b:Day>
    <b:YearAccessed>2019</b:YearAccessed>
    <b:MonthAccessed>01</b:MonthAccessed>
    <b:DayAccessed>31</b:DayAccessed>
    <b:URL>http://fundaciontelefonica.com.ec/innovacion-educativa/profuturo/</b:URL>
    <b:RefOrder>19</b:RefOrder>
  </b:Source>
  <b:Source>
    <b:Tag>Min17</b:Tag>
    <b:SourceType>DocumentFromInternetSite</b:SourceType>
    <b:Guid>{083E7530-42DD-4A8F-945D-B89A84A4FC0E}</b:Guid>
    <b:Year>2019</b:Year>
    <b:Author>
      <b:Author>
        <b:Corporate>MINEDUC</b:Corporate>
      </b:Author>
    </b:Author>
    <b:Month>06</b:Month>
    <b:Day>23</b:Day>
    <b:YearAccessed>2019</b:YearAccessed>
    <b:MonthAccessed>Enero</b:MonthAccessed>
    <b:DayAccessed>31</b:DayAccessed>
    <b:URL>https://educacion.gob.ec/memorias-documentos/</b:URL>
    <b:Title>Ministerio de Educación</b:Title>
    <b:InternetSiteTitle>Memoria. Festival de la Innovación educativa.</b:InternetSiteTitle>
    <b:RefOrder>1</b:RefOrder>
  </b:Source>
  <b:Source>
    <b:Tag>Sil06</b:Tag>
    <b:SourceType>JournalArticle</b:SourceType>
    <b:Guid>{A263F940-43C3-4A4E-8E19-3C5420AE3D2B}</b:Guid>
    <b:Author>
      <b:Author>
        <b:NameList>
          <b:Person>
            <b:Last>Silva</b:Last>
            <b:First>I.</b:First>
          </b:Person>
          <b:Person>
            <b:Last>Borrero</b:Last>
            <b:First>A.</b:First>
          </b:Person>
          <b:Person>
            <b:Last>Marchant</b:Last>
            <b:First>P.</b:First>
          </b:Person>
        </b:NameList>
      </b:Author>
    </b:Author>
    <b:Title>Percepciones de jóvenes acerca del uso de las tecnologías</b:Title>
    <b:JournalName>Juventud, educación</b:JournalName>
    <b:Year>2006</b:Year>
    <b:Volume>14</b:Volume>
    <b:Issue>24</b:Issue>
    <b:LCID>es-EC</b:LCID>
    <b:RefOrder>20</b:RefOrder>
  </b:Source>
  <b:Source>
    <b:Tag>Tel17</b:Tag>
    <b:SourceType>DocumentFromInternetSite</b:SourceType>
    <b:Guid>{88C3F20C-FC96-40B6-A672-9550BA10D74D}</b:Guid>
    <b:Title>Fundación Telefónica</b:Title>
    <b:Year>2017</b:Year>
    <b:Author>
      <b:Author>
        <b:Corporate>Fundación Telefónica</b:Corporate>
      </b:Author>
    </b:Author>
    <b:InternetSiteTitle>ProFuturo llega a Ecuador para innovar la educación</b:InternetSiteTitle>
    <b:Month>Octubre</b:Month>
    <b:Day>11</b:Day>
    <b:YearAccessed>2019</b:YearAccessed>
    <b:MonthAccessed>Febrero</b:MonthAccessed>
    <b:DayAccessed>5</b:DayAccessed>
    <b:URL>http://fundaciontelefonica.com.ec</b:URL>
    <b:RefOrder>2</b:RefOrder>
  </b:Source>
  <b:Source>
    <b:Tag>Tip11</b:Tag>
    <b:SourceType>Book</b:SourceType>
    <b:Guid>{67EFA12D-1253-426E-8513-7591133EDD29}</b:Guid>
    <b:Author>
      <b:Author>
        <b:NameList>
          <b:Person>
            <b:Last>Tippens</b:Last>
            <b:First>Paul</b:First>
          </b:Person>
        </b:NameList>
      </b:Author>
    </b:Author>
    <b:Title>Física, Conceptos y Aplicaciones. Séptima edición.</b:Title>
    <b:Year>2011</b:Year>
    <b:City>México</b:City>
    <b:Publisher>McGRAW-HILL/INTERAMERICANA EDITORES, S.A. DE C.V.</b:Publisher>
    <b:RefOrder>5</b:RefOrder>
  </b:Source>
  <b:Source>
    <b:Tag>Leó02</b:Tag>
    <b:SourceType>Book</b:SourceType>
    <b:Guid>{E9CB827D-DB56-4D1B-890E-778F9BE36A05}</b:Guid>
    <b:Author>
      <b:Author>
        <b:NameList>
          <b:Person>
            <b:Last>León</b:Last>
            <b:First>Adrian</b:First>
          </b:Person>
        </b:NameList>
      </b:Author>
    </b:Author>
    <b:Title> “Manual de luminotecnia” </b:Title>
    <b:Year>2002</b:Year>
    <b:City>España</b:City>
    <b:Publisher>Edición España.</b:Publisher>
    <b:RefOrder>2</b:RefOrder>
  </b:Source>
  <b:Source>
    <b:Tag>ALV15</b:Tag>
    <b:SourceType>Book</b:SourceType>
    <b:Guid>{FE5883FC-7774-4FBF-9E7A-C2B9D2AA55BD}</b:Guid>
    <b:Author>
      <b:Author>
        <b:NameList>
          <b:Person>
            <b:Last>Alvarez</b:Last>
            <b:First>T</b:First>
          </b:Person>
        </b:NameList>
      </b:Author>
    </b:Author>
    <b:Title>Iluminación en el puesto de trabajo. Criterios para la evaluación y acondicionamiento de los puestos</b:Title>
    <b:Year>2015</b:Year>
    <b:City>Madrid</b:City>
    <b:Publisher>INSHT</b:Publisher>
    <b:RefOrder>6</b:RefOrder>
  </b:Source>
  <b:Source>
    <b:Tag>YOU09</b:Tag>
    <b:SourceType>Book</b:SourceType>
    <b:Guid>{8FBC05F5-B836-4B5C-A573-4A41855CC0FD}</b:Guid>
    <b:Author>
      <b:Author>
        <b:NameList>
          <b:Person>
            <b:Last>Young</b:Last>
            <b:First>Hugh.</b:First>
            <b:Middle>D</b:Middle>
          </b:Person>
          <b:Person>
            <b:Last>Roger A</b:Last>
            <b:First>Freedman</b:First>
          </b:Person>
        </b:NameList>
      </b:Author>
    </b:Author>
    <b:Title>Física universitaria, con física moderna volumen 2. Decimosegunda edición</b:Title>
    <b:Year>(2009)</b:Year>
    <b:City>México</b:City>
    <b:Publisher>PEARSON EDUCACIÓN</b:Publisher>
    <b:RefOrder>7</b:RefOrder>
  </b:Source>
  <b:Source>
    <b:Tag>Dis11</b:Tag>
    <b:SourceType>InternetSite</b:SourceType>
    <b:Guid>{DD606F21-1F03-4C41-8C88-A06510A2F17F}</b:Guid>
    <b:Title>Disfruta de las matemáticas</b:Title>
    <b:Year>2011</b:Year>
    <b:InternetSiteTitle>El estereorradián</b:InternetSiteTitle>
    <b:URL>https://www.disfrutalasmatematicas.com/geometria/estereorradian.html</b:URL>
    <b:RefOrder>8</b:RefOrder>
  </b:Source>
  <b:Source>
    <b:Tag>Dom08</b:Tag>
    <b:SourceType>Book</b:SourceType>
    <b:Guid>{396176C8-D5C5-4BF9-8A2A-A35CEDBC1E1B}</b:Guid>
    <b:Title>Instalaciones eléctricas de alumbrado e industriales</b:Title>
    <b:Year>2008</b:Year>
    <b:City>España</b:City>
    <b:Publisher>Paraninfo</b:Publisher>
    <b:Author>
      <b:Author>
        <b:NameList>
          <b:Person>
            <b:Last>Dominguez Martínez</b:Last>
            <b:First>Fernando</b:First>
          </b:Person>
        </b:NameList>
      </b:Author>
    </b:Author>
    <b:RefOrder>3</b:RefOrder>
  </b:Source>
  <b:Source>
    <b:Tag>INS15</b:Tag>
    <b:SourceType>Book</b:SourceType>
    <b:Guid>{2EEC1B68-25A3-4F92-9697-F087AE7FA0A9}</b:Guid>
    <b:Title>Iluminación en el puesto de trabajo</b:Title>
    <b:Year>2015</b:Year>
    <b:City>Madrid</b:City>
    <b:Publisher>NIPO</b:Publisher>
    <b:Author>
      <b:Author>
        <b:NameList>
          <b:Person>
            <b:Last>(INSHT)</b:Last>
            <b:First>Instituto</b:First>
            <b:Middle>Nacional de Seguridad e Higiene en el Trabajo</b:Middle>
          </b:Person>
          <b:Person>
            <b:Last>Alvarez Bayona</b:Last>
            <b:First>Teresa</b:First>
          </b:Person>
        </b:NameList>
      </b:Author>
    </b:Author>
    <b:RefOrder>4</b:RefOrder>
  </b:Source>
  <b:Source>
    <b:Tag>Rod04</b:Tag>
    <b:SourceType>DocumentFromInternetSite</b:SourceType>
    <b:Guid>{39008B0D-7ACE-49A8-B9A1-74FA3878FE3C}</b:Guid>
    <b:Title>La Teoría del Aprendizaje Significativo</b:Title>
    <b:Year>2004</b:Year>
    <b:URL> http://cmc.ihmc.us/papers/cmc2004-290.pdf</b:URL>
    <b:Author>
      <b:Author>
        <b:NameList>
          <b:Person>
            <b:Last>Rodríguez Palmer</b:Last>
            <b:Middle> Luz</b:Middle>
            <b:First>María</b:First>
          </b:Person>
        </b:NameList>
      </b:Author>
    </b:Author>
    <b:RefOrder>1</b:RefOrder>
  </b:Source>
  <b:Source>
    <b:Tag>Bor17</b:Tag>
    <b:SourceType>Book</b:SourceType>
    <b:Guid>{2921421C-E9A5-4FD7-A2A3-8112DCCBC6BE}</b:Guid>
    <b:Author>
      <b:Author>
        <b:NameList>
          <b:Person>
            <b:Last>Borja Reyes</b:Last>
            <b:First>Alex</b:First>
            <b:Middle>Gabriel</b:Middle>
          </b:Person>
        </b:NameList>
      </b:Author>
    </b:Author>
    <b:Title>Confort lumínico en los espacios interiores de la biblioteca de la ciudad y provincia, en la ciudad de Ambato</b:Title>
    <b:Year>2017</b:Year>
    <b:City>Ambato</b:City>
    <b:RefOrder>9</b:RefOrder>
  </b:Source>
  <b:Source>
    <b:Tag>Apu</b:Tag>
    <b:SourceType>InternetSite</b:SourceType>
    <b:Guid>{4A45D856-A079-46DA-8504-1ADA846251A3}</b:Guid>
    <b:Title>Tablas y comparativos</b:Title>
    <b:InternetSiteTitle>Apuntes Científicos</b:InternetSiteTitle>
    <b:URL>http://apuntescientificos.org/tablas-iluminacion.html</b:URL>
    <b:RefOrder>10</b:RefOrder>
  </b:Source>
  <b:Source>
    <b:Tag>Min08</b:Tag>
    <b:SourceType>Book</b:SourceType>
    <b:Guid>{CD578240-45F4-4030-8196-9DE4829A6989}</b:Guid>
    <b:Title>Ley Orgánica de Educación Superior (LOES).</b:Title>
    <b:Year>2008</b:Year>
    <b:Author>
      <b:Author>
        <b:NameList>
          <b:Person>
            <b:Last>Ministerio de Educación del Ecuador</b:Last>
          </b:Person>
        </b:NameList>
      </b:Author>
    </b:Author>
    <b:City>Quito</b:City>
    <b:CountryRegion>Ecuador</b:CountryRegion>
    <b:RefOrder>11</b:RefOrder>
  </b:Source>
  <b:Source>
    <b:Tag>PUG16</b:Tag>
    <b:SourceType>JournalArticle</b:SourceType>
    <b:Guid>{93464695-9199-44A0-A67A-6F5E31B9A308}</b:Guid>
    <b:Author>
      <b:Author>
        <b:NameList>
          <b:Person>
            <b:Last>Puga Peña</b:Last>
            <b:First>Luis</b:First>
            <b:Middle>Alberto</b:Middle>
          </b:Person>
          <b:Person>
            <b:Last>Rodríguez Orozco</b:Last>
            <b:First>Jhony</b:First>
            <b:Middle>Mauro</b:Middle>
          </b:Person>
          <b:Person>
            <b:Last>Toledo Delgado</b:Last>
            <b:First>Alba</b:First>
            <b:Middle>Marlene</b:Middle>
          </b:Person>
        </b:NameList>
      </b:Author>
    </b:Author>
    <b:Title>Reflexiones sobre el lenguaje matemático y su incidencia en el aprendizaje significativo</b:Title>
    <b:Year>2016</b:Year>
    <b:JournalName>Sophia, Colección de Filosofía de la Educación</b:JournalName>
    <b:Pages>197 - 220</b:Pages>
    <b:RefOrder>12</b:RefOrder>
  </b:Source>
</b:Sources>
</file>

<file path=customXml/itemProps1.xml><?xml version="1.0" encoding="utf-8"?>
<ds:datastoreItem xmlns:ds="http://schemas.openxmlformats.org/officeDocument/2006/customXml" ds:itemID="{5B5800B2-468B-405C-AA33-A5DFEED8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188</Words>
  <Characters>1034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AUTOR</cp:lastModifiedBy>
  <cp:revision>3</cp:revision>
  <dcterms:created xsi:type="dcterms:W3CDTF">2022-01-26T01:55:00Z</dcterms:created>
  <dcterms:modified xsi:type="dcterms:W3CDTF">2025-02-12T17:20:00Z</dcterms:modified>
</cp:coreProperties>
</file>